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セーフティネット保証５号の様式集</w:t>
      </w:r>
    </w:p>
    <w:p>
      <w:pPr>
        <w:pStyle w:val="0"/>
        <w:widowControl w:val="1"/>
        <w:jc w:val="left"/>
        <w:rPr>
          <w:rFonts w:hint="default" w:ascii="ＭＳ ゴシック" w:hAnsi="ＭＳ ゴシック" w:eastAsia="ＭＳ ゴシック"/>
          <w:color w:val="000000"/>
          <w:kern w:val="0"/>
        </w:rPr>
      </w:pP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highlight w:val="cyan"/>
        </w:rPr>
        <w:t>色掛け部分</w:t>
      </w:r>
      <w:r>
        <w:rPr>
          <w:rFonts w:hint="eastAsia" w:ascii="ＭＳ ゴシック" w:hAnsi="ＭＳ ゴシック" w:eastAsia="ＭＳ ゴシック"/>
          <w:color w:val="000000"/>
          <w:kern w:val="0"/>
          <w:sz w:val="22"/>
        </w:rPr>
        <w:t>が「伴走支援型特別保証制度の対象となる減少率１５％以上の要件」における売上高等減少率の確認ポイントとなります。</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の減少率」の場合、最近３か月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１か月）間の売上高等の減少率で判断。</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✓「両方の減少率」の場合、最近１か月間と最近３か月間の両方の減少率で判断。</w:t>
      </w:r>
    </w:p>
    <w:p>
      <w:pPr>
        <w:pStyle w:val="0"/>
        <w:widowControl w:val="1"/>
        <w:spacing w:line="320" w:lineRule="exact"/>
        <w:ind w:left="356" w:hanging="356" w:hangingChars="162"/>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全体の減少率</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」は、上記のポイントに加え、主たる業種や指定業種等を問わず企業全体の売上高等の減少率で判断。</w:t>
      </w:r>
    </w:p>
    <w:tbl>
      <w:tblPr>
        <w:tblStyle w:val="43"/>
        <w:tblW w:w="9535" w:type="dxa"/>
        <w:tblInd w:w="0" w:type="dxa"/>
        <w:tblLayout w:type="fixed"/>
        <w:tblLook w:firstRow="1" w:lastRow="0" w:firstColumn="1" w:lastColumn="0" w:noHBand="0" w:noVBand="1" w:val="04A0"/>
      </w:tblPr>
      <w:tblGrid>
        <w:gridCol w:w="895"/>
        <w:gridCol w:w="2880"/>
        <w:gridCol w:w="2700"/>
        <w:gridCol w:w="1260"/>
        <w:gridCol w:w="1800"/>
      </w:tblGrid>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96"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様式第５－（イ）－①</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tc>
      </w:tr>
      <w:tr>
        <w:trPr>
          <w:trHeight w:val="808"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様式第５－（イ）－②</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81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様式第５－（イ）－③</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認定基準緩和の様式例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様式第５－（イ）－④</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様式第５－（イ）－⑤</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様式第５－（イ）－⑥</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eastAsia"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52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様式第５－（イ）－⑦</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tc>
      </w:tr>
      <w:tr>
        <w:trPr>
          <w:trHeight w:val="524"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様式第５－（イ）－⑧</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様式第５－（イ）－⑨</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様式第５－（イ）－⑩</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様式第５－（イ）－⑪</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様式第５－（イ）－⑫</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様式第５－（イ）－⑬</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様式第５－（イ）－⑭</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2"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様式第５－（イ）－⑮</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bl>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bookmarkStart w:id="0" w:name="_GoBack"/>
            <w:bookmarkEnd w:id="0"/>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95834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95834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54.19pt;mso-wrap-distance-top:0pt;width:494.6pt;mso-wrap-distance-left:9pt;margin-left:2.1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324" w:firstLineChars="2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tabs>
                <w:tab w:val="center" w:leader="none" w:pos="4767"/>
              </w:tabs>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overflowPunct w:val="0"/>
              <w:autoSpaceDE w:val="0"/>
              <w:autoSpaceDN w:val="0"/>
              <w:adjustRightInd w:val="0"/>
              <w:spacing w:line="220" w:lineRule="exact"/>
              <w:ind w:firstLine="726" w:firstLineChars="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850"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16</Pages>
  <Words>38</Words>
  <Characters>14150</Characters>
  <Application>JUST Note</Application>
  <Lines>4679</Lines>
  <Paragraphs>668</Paragraphs>
  <Company>経済産業省</Company>
  <CharactersWithSpaces>22205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小林　里奈</cp:lastModifiedBy>
  <cp:lastPrinted>2021-07-20T01:15:00Z</cp:lastPrinted>
  <dcterms:created xsi:type="dcterms:W3CDTF">2021-07-21T05:20:00Z</dcterms:created>
  <dcterms:modified xsi:type="dcterms:W3CDTF">2021-07-27T03:06:45Z</dcterms:modified>
  <cp:revision>22</cp:revision>
</cp:coreProperties>
</file>