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b w:val="0"/>
          <w:color w:val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-582295</wp:posOffset>
                </wp:positionV>
                <wp:extent cx="876300" cy="3048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22"/>
                              </w:rPr>
                              <w:t>資料１</w:t>
                            </w:r>
                          </w:p>
                        </w:txbxContent>
                      </wps:txbx>
                      <wps:bodyPr vertOverflow="overflow" horzOverflow="overflow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45.85pt;mso-position-vertical-relative:text;mso-position-horizontal-relative:text;v-text-anchor:middle;position:absolute;height:24pt;mso-wrap-distance-top:0pt;width:69pt;mso-wrap-distance-left:5.65pt;margin-left:381.55pt;z-index:3;" o:spid="_x0000_s1026" o:allowincell="t" o:allowoverlap="t" filled="f" stroked="t" strokecolor="#000000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2"/>
                        </w:rPr>
                        <w:t>資料１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0"/>
          <w:color w:val="auto"/>
        </w:rPr>
        <w:t>１　令和２年３月末の空き家等の状況について</w:t>
      </w:r>
    </w:p>
    <w:p>
      <w:pPr>
        <w:pStyle w:val="0"/>
        <w:tabs>
          <w:tab w:val="left" w:leader="none" w:pos="889"/>
          <w:tab w:val="left" w:leader="none" w:pos="1489"/>
        </w:tabs>
        <w:rPr>
          <w:rFonts w:hint="eastAsia" w:ascii="ＭＳ ゴシック" w:hAnsi="ＭＳ ゴシック" w:eastAsia="ＭＳ ゴシック"/>
          <w:b w:val="0"/>
          <w:color w:val="FF0000"/>
        </w:rPr>
      </w:pPr>
      <w:r>
        <w:rPr>
          <w:rFonts w:hint="eastAsia" w:ascii="ＭＳ ゴシック" w:hAnsi="ＭＳ ゴシック" w:eastAsia="ＭＳ ゴシック"/>
          <w:b w:val="0"/>
          <w:color w:val="FF0000"/>
        </w:rPr>
        <w:tab/>
      </w:r>
      <w:r>
        <w:rPr>
          <w:rFonts w:hint="eastAsia" w:ascii="ＭＳ ゴシック" w:hAnsi="ＭＳ ゴシック" w:eastAsia="ＭＳ ゴシック"/>
          <w:b w:val="0"/>
          <w:color w:val="FF0000"/>
        </w:rPr>
        <w:tab/>
      </w: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4"/>
        </w:rPr>
        <w:t>（１）空き家数</w:t>
      </w:r>
    </w:p>
    <w:p>
      <w:pPr>
        <w:pStyle w:val="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・</w:t>
      </w:r>
      <w:r>
        <w:rPr>
          <w:rFonts w:hint="eastAsia" w:asciiTheme="minorEastAsia" w:hAnsiTheme="minorEastAsia" w:eastAsiaTheme="minorEastAsia"/>
          <w:b w:val="0"/>
          <w:color w:val="auto"/>
        </w:rPr>
        <w:t>令和２年</w:t>
      </w:r>
      <w:r>
        <w:rPr>
          <w:rFonts w:hint="eastAsia" w:asciiTheme="minorEastAsia" w:hAnsiTheme="minorEastAsia" w:eastAsiaTheme="minorEastAsia"/>
          <w:b w:val="0"/>
          <w:color w:val="000000" w:themeColor="text1"/>
        </w:rPr>
        <w:t>３月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末</w:t>
      </w:r>
      <w:r>
        <w:rPr>
          <w:rFonts w:hint="eastAsia"/>
          <w:color w:val="000000" w:themeColor="text1"/>
          <w:sz w:val="24"/>
        </w:rPr>
        <w:t>　　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４６０</w:t>
      </w:r>
      <w:r>
        <w:rPr>
          <w:rFonts w:hint="eastAsia"/>
          <w:color w:val="000000" w:themeColor="text1"/>
          <w:sz w:val="24"/>
        </w:rPr>
        <w:t>戸（平成３１年</w:t>
      </w:r>
      <w:r>
        <w:rPr>
          <w:rFonts w:hint="eastAsia" w:asciiTheme="minorEastAsia" w:hAnsiTheme="minorEastAsia" w:eastAsiaTheme="minorEastAsia"/>
          <w:b w:val="0"/>
          <w:color w:val="000000" w:themeColor="text1"/>
        </w:rPr>
        <w:t>３月</w:t>
      </w:r>
      <w:r>
        <w:rPr>
          <w:rFonts w:hint="eastAsia"/>
          <w:color w:val="000000" w:themeColor="text1"/>
          <w:sz w:val="24"/>
        </w:rPr>
        <w:t>末　４７８戸）</w:t>
      </w:r>
    </w:p>
    <w:p>
      <w:pPr>
        <w:pStyle w:val="0"/>
        <w:ind w:right="0" w:rightChars="0" w:firstLine="2160" w:firstLineChars="90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　</w:t>
      </w:r>
      <w:r>
        <w:rPr>
          <w:rFonts w:hint="eastAsia" w:asciiTheme="minorEastAsia" w:hAnsiTheme="minorEastAsia" w:eastAsiaTheme="minorEastAsia"/>
          <w:b w:val="0"/>
          <w:color w:val="000000" w:themeColor="text1"/>
          <w:sz w:val="24"/>
        </w:rPr>
        <w:t>前年比　</w:t>
      </w:r>
      <w:r>
        <w:rPr>
          <w:rFonts w:hint="eastAsia"/>
          <w:color w:val="000000" w:themeColor="text1"/>
          <w:sz w:val="24"/>
        </w:rPr>
        <w:t>１８戸減　３．９％減</w:t>
      </w:r>
    </w:p>
    <w:p>
      <w:pPr>
        <w:pStyle w:val="0"/>
        <w:ind w:right="0" w:rightChars="0" w:firstLine="2160" w:firstLineChars="900"/>
        <w:rPr>
          <w:rFonts w:hint="eastAsia"/>
          <w:color w:val="000000" w:themeColor="text1"/>
          <w:sz w:val="24"/>
        </w:rPr>
      </w:pPr>
    </w:p>
    <w:p>
      <w:pPr>
        <w:pStyle w:val="0"/>
        <w:ind w:right="0" w:rightChars="0" w:firstLine="480" w:firstLine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sz w:val="24"/>
        </w:rPr>
        <w:t>・各年度３月末空き家数の推移</w:t>
      </w:r>
      <w:r>
        <w:rPr>
          <w:rFonts w:hint="eastAsia"/>
          <w:color w:val="000000" w:themeColor="text1"/>
          <w:sz w:val="24"/>
        </w:rPr>
        <w:t>　　　　　　　　　　　　　　　　　　　</w:t>
      </w:r>
      <w:r>
        <w:rPr>
          <w:rFonts w:hint="eastAsia" w:asciiTheme="minorEastAsia" w:hAnsiTheme="minorEastAsia" w:eastAsiaTheme="minorEastAsia"/>
          <w:b w:val="0"/>
          <w:color w:val="000000" w:themeColor="text1"/>
          <w:sz w:val="24"/>
        </w:rPr>
        <w:t>(</w:t>
      </w:r>
      <w:r>
        <w:rPr>
          <w:rFonts w:hint="eastAsia"/>
          <w:color w:val="000000" w:themeColor="text1"/>
          <w:sz w:val="24"/>
        </w:rPr>
        <w:t>戸）</w:t>
      </w:r>
    </w:p>
    <w:tbl>
      <w:tblPr>
        <w:tblStyle w:val="18"/>
        <w:tblW w:w="8539" w:type="dxa"/>
        <w:jc w:val="left"/>
        <w:tblInd w:w="528" w:type="dxa"/>
        <w:tblLayout w:type="fixed"/>
        <w:tblLook w:firstRow="1" w:lastRow="0" w:firstColumn="1" w:lastColumn="0" w:noHBand="0" w:noVBand="1" w:val="04A0"/>
      </w:tblPr>
      <w:tblGrid>
        <w:gridCol w:w="1090"/>
        <w:gridCol w:w="827"/>
        <w:gridCol w:w="827"/>
        <w:gridCol w:w="828"/>
        <w:gridCol w:w="827"/>
        <w:gridCol w:w="827"/>
        <w:gridCol w:w="827"/>
        <w:gridCol w:w="828"/>
        <w:gridCol w:w="827"/>
        <w:gridCol w:w="831"/>
      </w:tblGrid>
      <w:tr>
        <w:trPr/>
        <w:tc>
          <w:tcPr>
            <w:tcW w:w="1091" w:type="dxa"/>
            <w:vAlign w:val="top"/>
          </w:tcPr>
          <w:p>
            <w:pPr>
              <w:pStyle w:val="0"/>
              <w:ind w:right="86" w:rightChars="36" w:firstLine="240" w:firstLineChars="1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8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8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8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Ｒ元</w:t>
            </w:r>
          </w:p>
        </w:tc>
      </w:tr>
      <w:tr>
        <w:trPr/>
        <w:tc>
          <w:tcPr>
            <w:tcW w:w="1091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空き家数</w:t>
            </w:r>
          </w:p>
        </w:tc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305</w:t>
            </w:r>
          </w:p>
        </w:tc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337</w:t>
            </w:r>
          </w:p>
        </w:tc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338</w:t>
            </w:r>
          </w:p>
        </w:tc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351</w:t>
            </w:r>
          </w:p>
        </w:tc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403</w:t>
            </w:r>
          </w:p>
        </w:tc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423</w:t>
            </w:r>
          </w:p>
        </w:tc>
        <w:tc>
          <w:tcPr>
            <w:tcW w:w="8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467</w:t>
            </w:r>
          </w:p>
        </w:tc>
        <w:tc>
          <w:tcPr>
            <w:tcW w:w="8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478</w:t>
            </w:r>
          </w:p>
        </w:tc>
        <w:tc>
          <w:tcPr>
            <w:tcW w:w="8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460</w:t>
            </w:r>
          </w:p>
        </w:tc>
      </w:tr>
      <w:tr>
        <w:trPr/>
        <w:tc>
          <w:tcPr>
            <w:tcW w:w="10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解　消</w:t>
            </w:r>
          </w:p>
        </w:tc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82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32</w:t>
            </w:r>
          </w:p>
        </w:tc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58</w:t>
            </w:r>
          </w:p>
        </w:tc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27</w:t>
            </w:r>
          </w:p>
        </w:tc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29</w:t>
            </w:r>
          </w:p>
        </w:tc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43</w:t>
            </w:r>
          </w:p>
        </w:tc>
        <w:tc>
          <w:tcPr>
            <w:tcW w:w="8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28</w:t>
            </w:r>
          </w:p>
        </w:tc>
        <w:tc>
          <w:tcPr>
            <w:tcW w:w="8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49</w:t>
            </w:r>
          </w:p>
        </w:tc>
        <w:tc>
          <w:tcPr>
            <w:tcW w:w="8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</w:p>
        </w:tc>
      </w:tr>
      <w:tr>
        <w:trPr/>
        <w:tc>
          <w:tcPr>
            <w:tcW w:w="109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新　規</w:t>
            </w: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64</w:t>
            </w:r>
          </w:p>
        </w:tc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59</w:t>
            </w:r>
          </w:p>
        </w:tc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40</w:t>
            </w:r>
          </w:p>
        </w:tc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81</w:t>
            </w:r>
          </w:p>
        </w:tc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63</w:t>
            </w:r>
          </w:p>
        </w:tc>
        <w:tc>
          <w:tcPr>
            <w:tcW w:w="8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72</w:t>
            </w:r>
          </w:p>
        </w:tc>
        <w:tc>
          <w:tcPr>
            <w:tcW w:w="8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60</w:t>
            </w:r>
          </w:p>
        </w:tc>
        <w:tc>
          <w:tcPr>
            <w:tcW w:w="8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0" w:rightChars="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</w:tr>
    </w:tbl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  <w:r>
        <w:rPr>
          <w:rFonts w:hint="eastAsia"/>
        </w:rPr>
        <w:drawing>
          <wp:anchor simplePos="0" relativeHeight="2" behindDoc="0" locked="0" layoutInCell="1" hidden="0" allowOverlap="1">
            <wp:simplePos x="0" y="0"/>
            <wp:positionH relativeFrom="page">
              <wp:posOffset>1461770</wp:posOffset>
            </wp:positionH>
            <wp:positionV relativeFrom="page">
              <wp:posOffset>3637915</wp:posOffset>
            </wp:positionV>
            <wp:extent cx="4991100" cy="217043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6"/>
              </a:graphicData>
            </a:graphic>
          </wp:anchor>
        </w:drawing>
      </w:r>
    </w:p>
    <w:p>
      <w:pPr>
        <w:pStyle w:val="0"/>
        <w:ind w:leftChars="0" w:right="0" w:rightChars="0" w:firstLine="0" w:firstLineChars="0"/>
        <w:rPr>
          <w:rFonts w:hint="eastAsia"/>
          <w:color w:val="000000" w:themeColor="text1"/>
          <w:sz w:val="24"/>
        </w:rPr>
      </w:pPr>
    </w:p>
    <w:p>
      <w:pPr>
        <w:pStyle w:val="0"/>
        <w:ind w:leftChars="0" w:right="0" w:rightChars="0" w:firstLine="0" w:firstLineChars="0"/>
        <w:rPr>
          <w:rFonts w:hint="eastAsia"/>
          <w:color w:val="000000" w:themeColor="text1"/>
          <w:sz w:val="24"/>
        </w:rPr>
      </w:pPr>
    </w:p>
    <w:p>
      <w:pPr>
        <w:pStyle w:val="0"/>
        <w:ind w:leftChars="0" w:right="0" w:rightChars="0" w:firstLine="0" w:firstLineChars="0"/>
        <w:rPr>
          <w:rFonts w:hint="eastAsia"/>
          <w:color w:val="000000" w:themeColor="text1"/>
          <w:sz w:val="24"/>
        </w:rPr>
      </w:pPr>
    </w:p>
    <w:p>
      <w:pPr>
        <w:pStyle w:val="0"/>
        <w:ind w:leftChars="0" w:right="0" w:rightChars="0" w:firstLine="0" w:firstLineChars="0"/>
        <w:rPr>
          <w:rFonts w:hint="eastAsia"/>
          <w:color w:val="000000" w:themeColor="text1"/>
          <w:sz w:val="24"/>
        </w:rPr>
      </w:pPr>
    </w:p>
    <w:p>
      <w:pPr>
        <w:pStyle w:val="0"/>
        <w:ind w:leftChars="0" w:right="0" w:rightChars="0" w:firstLine="0" w:firstLineChars="0"/>
        <w:rPr>
          <w:rFonts w:hint="eastAsia"/>
          <w:color w:val="000000" w:themeColor="text1"/>
          <w:sz w:val="24"/>
        </w:rPr>
      </w:pPr>
    </w:p>
    <w:p>
      <w:pPr>
        <w:pStyle w:val="0"/>
        <w:ind w:leftChars="0" w:right="0" w:rightChars="0" w:firstLine="0" w:firstLineChars="0"/>
        <w:rPr>
          <w:rFonts w:hint="eastAsia"/>
          <w:color w:val="000000" w:themeColor="text1"/>
          <w:sz w:val="24"/>
        </w:rPr>
      </w:pPr>
    </w:p>
    <w:p>
      <w:pPr>
        <w:pStyle w:val="0"/>
        <w:ind w:leftChars="0" w:right="0" w:rightChars="0" w:firstLine="0" w:firstLineChars="0"/>
        <w:rPr>
          <w:rFonts w:hint="eastAsia"/>
          <w:color w:val="000000" w:themeColor="text1"/>
          <w:sz w:val="24"/>
        </w:rPr>
      </w:pPr>
    </w:p>
    <w:p>
      <w:pPr>
        <w:pStyle w:val="0"/>
        <w:ind w:leftChars="0" w:right="0" w:rightChars="0" w:firstLine="0" w:firstLineChars="0"/>
        <w:rPr>
          <w:rFonts w:hint="eastAsia"/>
          <w:color w:val="000000" w:themeColor="text1"/>
          <w:sz w:val="24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ind w:right="0" w:rightChars="0" w:firstLine="480" w:firstLineChars="200"/>
        <w:rPr>
          <w:rFonts w:hint="eastAsia" w:ascii="ＭＳ ゴシック" w:hAnsi="ＭＳ ゴシック" w:eastAsia="ＭＳ ゴシック"/>
          <w:b w:val="0"/>
          <w:color w:val="000000" w:themeColor="text1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</w:rPr>
        <w:t>・特徴</w:t>
      </w:r>
    </w:p>
    <w:p>
      <w:pPr>
        <w:pStyle w:val="0"/>
        <w:ind w:left="480" w:leftChars="200" w:right="0" w:rightChars="0" w:firstLine="240" w:firstLineChars="100"/>
        <w:rPr>
          <w:rFonts w:hint="eastAsia"/>
          <w:color w:val="000000" w:themeColor="text1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</w:rPr>
        <w:t>平成２３年調査以来初めて、空き家数が減少した。要因として、新規に空き家となったものが５５戸あったが、一方で、解消された空き家が７３戸と多かった。</w:t>
      </w: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</w:rPr>
        <w:t>（２）</w:t>
      </w:r>
      <w:r>
        <w:rPr>
          <w:rFonts w:hint="eastAsia" w:ascii="ＭＳ ゴシック" w:hAnsi="ＭＳ ゴシック" w:eastAsia="ＭＳ ゴシック"/>
        </w:rPr>
        <w:t>令和元年度　地区別空き家戸数の集計結果　資料２</w:t>
      </w:r>
    </w:p>
    <w:p>
      <w:pPr>
        <w:pStyle w:val="0"/>
        <w:spacing w:before="0" w:beforeLines="0" w:beforeAutospacing="0" w:after="0" w:afterLines="0" w:afterAutospacing="0" w:line="240" w:lineRule="exact"/>
        <w:rPr>
          <w:rFonts w:hint="eastAsia" w:ascii="ＭＳ ゴシック" w:hAnsi="ＭＳ ゴシック" w:eastAsia="ＭＳ ゴシック"/>
          <w:b w:val="0"/>
          <w:color w:val="000000" w:themeColor="text1"/>
          <w:sz w:val="16"/>
        </w:rPr>
      </w:pPr>
    </w:p>
    <w:p>
      <w:pPr>
        <w:pStyle w:val="0"/>
        <w:ind w:left="480" w:leftChars="200" w:right="0" w:rightChars="0" w:firstLine="240" w:firstLineChars="100"/>
        <w:rPr>
          <w:rFonts w:hint="eastAsia" w:asciiTheme="minorEastAsia" w:hAnsiTheme="minorEastAsia" w:eastAsiaTheme="minorEastAsia"/>
          <w:b w:val="0"/>
          <w:color w:val="000000" w:themeColor="text1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</w:rPr>
        <w:t>解消された空き家７３戸の内訳は、</w:t>
      </w:r>
      <w:r>
        <w:rPr>
          <w:rFonts w:hint="eastAsia" w:asciiTheme="minorEastAsia" w:hAnsiTheme="minorEastAsia" w:eastAsiaTheme="minorEastAsia"/>
          <w:color w:val="000000" w:themeColor="text1"/>
        </w:rPr>
        <w:t>所有者や管理者による取壊しが３０戸、売買が１８戸、居住が１６戸、不明が９戸となっている。解消数の多い地区は、東山見の１６戸、油田の８戸となっている。</w:t>
      </w: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</w:rPr>
        <w:t>　　　　</w:t>
      </w:r>
    </w:p>
    <w:tbl>
      <w:tblPr>
        <w:tblStyle w:val="18"/>
        <w:tblW w:w="0" w:type="auto"/>
        <w:jc w:val="left"/>
        <w:tblInd w:w="823" w:type="dxa"/>
        <w:tblLayout w:type="fixed"/>
        <w:tblLook w:firstRow="1" w:lastRow="0" w:firstColumn="1" w:lastColumn="0" w:noHBand="0" w:noVBand="1" w:val="04A0"/>
      </w:tblPr>
      <w:tblGrid>
        <w:gridCol w:w="3630"/>
        <w:gridCol w:w="3630"/>
      </w:tblGrid>
      <w:tr>
        <w:trPr/>
        <w:tc>
          <w:tcPr>
            <w:tcW w:w="363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空き家数が多い地区</w:t>
            </w:r>
          </w:p>
        </w:tc>
        <w:tc>
          <w:tcPr>
            <w:tcW w:w="363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空き家数が少ない地区</w:t>
            </w:r>
          </w:p>
        </w:tc>
      </w:tr>
      <w:tr>
        <w:trPr/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青島　　　　　　　　５０</w:t>
            </w:r>
          </w:p>
        </w:tc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若林　　　　　　　　　０</w:t>
            </w:r>
          </w:p>
        </w:tc>
      </w:tr>
      <w:tr>
        <w:trPr/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東山見　　　　　　　４９</w:t>
            </w:r>
          </w:p>
        </w:tc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種田　　　　　　　　　６</w:t>
            </w:r>
          </w:p>
        </w:tc>
      </w:tr>
      <w:tr>
        <w:trPr/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油田　　　　　　　　４７</w:t>
            </w:r>
          </w:p>
        </w:tc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高波　　　　　　　　１０</w:t>
            </w:r>
          </w:p>
        </w:tc>
      </w:tr>
      <w:tr>
        <w:trPr/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太田・栴檀山　　　　２９</w:t>
            </w:r>
          </w:p>
        </w:tc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雄神　　　　　　　　１１</w:t>
            </w:r>
          </w:p>
        </w:tc>
      </w:tr>
      <w:tr>
        <w:trPr/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出町　　　　　　　　２６</w:t>
            </w:r>
          </w:p>
        </w:tc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南般若　　　　　　　１２</w:t>
            </w:r>
          </w:p>
        </w:tc>
      </w:tr>
    </w:tbl>
    <w:p>
      <w:pPr>
        <w:pStyle w:val="0"/>
        <w:ind w:right="0" w:rightChars="0" w:firstLine="480" w:firstLineChars="200"/>
        <w:rPr>
          <w:rFonts w:hint="eastAsia"/>
        </w:rPr>
      </w:pPr>
    </w:p>
    <w:p>
      <w:pPr>
        <w:pStyle w:val="0"/>
        <w:ind w:right="0" w:rightChars="0" w:firstLine="480" w:firstLineChars="200"/>
        <w:rPr>
          <w:rFonts w:hint="eastAsia"/>
        </w:rPr>
      </w:pPr>
    </w:p>
    <w:p>
      <w:pPr>
        <w:pStyle w:val="0"/>
        <w:rPr>
          <w:rFonts w:hint="eastAsia"/>
          <w:color w:val="000000" w:themeColor="text1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</w:rPr>
        <w:t>（３）空き家に関する相談件数について</w:t>
      </w:r>
    </w:p>
    <w:p>
      <w:pPr>
        <w:pStyle w:val="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</w:rPr>
        <w:t>　　</w:t>
      </w:r>
      <w:r>
        <w:rPr>
          <w:rFonts w:hint="eastAsia"/>
          <w:color w:val="000000" w:themeColor="text1"/>
          <w:sz w:val="24"/>
        </w:rPr>
        <w:t>・令和元年度　１３２件（平成３０年度　１０８件）</w:t>
      </w:r>
    </w:p>
    <w:p>
      <w:pPr>
        <w:pStyle w:val="0"/>
        <w:rPr>
          <w:rFonts w:hint="eastAsia"/>
          <w:color w:val="000000" w:themeColor="text1"/>
          <w:sz w:val="24"/>
        </w:rPr>
      </w:pPr>
    </w:p>
    <w:p>
      <w:pPr>
        <w:pStyle w:val="0"/>
        <w:ind w:right="0" w:rightChars="0" w:firstLine="480" w:firstLineChars="200"/>
        <w:rPr>
          <w:rFonts w:hint="eastAsia" w:asciiTheme="minorEastAsia" w:hAnsiTheme="minorEastAsia" w:eastAsiaTheme="minorEastAsia"/>
          <w:b w:val="0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sz w:val="24"/>
        </w:rPr>
        <w:t>・各年度相談数の推移</w:t>
      </w:r>
    </w:p>
    <w:tbl>
      <w:tblPr>
        <w:tblStyle w:val="18"/>
        <w:tblW w:w="0" w:type="auto"/>
        <w:jc w:val="left"/>
        <w:tblInd w:w="866" w:type="dxa"/>
        <w:tblLayout w:type="fixed"/>
        <w:tblLook w:firstRow="1" w:lastRow="0" w:firstColumn="1" w:lastColumn="0" w:noHBand="0" w:noVBand="1" w:val="04A0"/>
      </w:tblPr>
      <w:tblGrid>
        <w:gridCol w:w="1018"/>
        <w:gridCol w:w="1018"/>
        <w:gridCol w:w="1018"/>
        <w:gridCol w:w="1018"/>
        <w:gridCol w:w="1018"/>
        <w:gridCol w:w="1018"/>
        <w:gridCol w:w="1018"/>
        <w:gridCol w:w="1023"/>
      </w:tblGrid>
      <w:tr>
        <w:trPr/>
        <w:tc>
          <w:tcPr>
            <w:tcW w:w="101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101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101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101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10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10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10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0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Ｒ元</w:t>
            </w:r>
          </w:p>
        </w:tc>
      </w:tr>
      <w:tr>
        <w:trPr/>
        <w:tc>
          <w:tcPr>
            <w:tcW w:w="101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14</w:t>
            </w:r>
            <w:r>
              <w:rPr>
                <w:rFonts w:hint="eastAsia"/>
                <w:color w:val="000000" w:themeColor="text1"/>
                <w:sz w:val="24"/>
              </w:rPr>
              <w:t>件</w:t>
            </w:r>
          </w:p>
        </w:tc>
        <w:tc>
          <w:tcPr>
            <w:tcW w:w="101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53</w:t>
            </w:r>
            <w:r>
              <w:rPr>
                <w:rFonts w:hint="eastAsia"/>
                <w:color w:val="000000" w:themeColor="text1"/>
                <w:sz w:val="24"/>
              </w:rPr>
              <w:t>件</w:t>
            </w:r>
          </w:p>
        </w:tc>
        <w:tc>
          <w:tcPr>
            <w:tcW w:w="101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100</w:t>
            </w:r>
            <w:r>
              <w:rPr>
                <w:rFonts w:hint="eastAsia"/>
                <w:color w:val="000000" w:themeColor="text1"/>
                <w:sz w:val="24"/>
              </w:rPr>
              <w:t>件</w:t>
            </w:r>
          </w:p>
        </w:tc>
        <w:tc>
          <w:tcPr>
            <w:tcW w:w="101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44</w:t>
            </w:r>
            <w:r>
              <w:rPr>
                <w:rFonts w:hint="eastAsia"/>
                <w:color w:val="000000" w:themeColor="text1"/>
                <w:sz w:val="24"/>
              </w:rPr>
              <w:t>件</w:t>
            </w:r>
          </w:p>
        </w:tc>
        <w:tc>
          <w:tcPr>
            <w:tcW w:w="10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56</w:t>
            </w:r>
            <w:r>
              <w:rPr>
                <w:rFonts w:hint="eastAsia"/>
                <w:color w:val="000000" w:themeColor="text1"/>
                <w:sz w:val="24"/>
              </w:rPr>
              <w:t>件</w:t>
            </w:r>
          </w:p>
        </w:tc>
        <w:tc>
          <w:tcPr>
            <w:tcW w:w="10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115</w:t>
            </w:r>
            <w:r>
              <w:rPr>
                <w:rFonts w:hint="eastAsia"/>
                <w:color w:val="000000" w:themeColor="text1"/>
                <w:sz w:val="24"/>
              </w:rPr>
              <w:t>件</w:t>
            </w:r>
          </w:p>
        </w:tc>
        <w:tc>
          <w:tcPr>
            <w:tcW w:w="10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108</w:t>
            </w:r>
            <w:r>
              <w:rPr>
                <w:rFonts w:hint="eastAsia"/>
                <w:color w:val="000000" w:themeColor="text1"/>
                <w:sz w:val="24"/>
              </w:rPr>
              <w:t>件</w:t>
            </w:r>
          </w:p>
        </w:tc>
        <w:tc>
          <w:tcPr>
            <w:tcW w:w="10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4"/>
              </w:rPr>
              <w:t>132</w:t>
            </w:r>
            <w:r>
              <w:rPr>
                <w:rFonts w:hint="eastAsia"/>
                <w:color w:val="000000" w:themeColor="text1"/>
                <w:sz w:val="24"/>
              </w:rPr>
              <w:t>件</w:t>
            </w:r>
          </w:p>
        </w:tc>
      </w:tr>
    </w:tbl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b w:val="0"/>
          <w:color w:val="auto"/>
          <w:sz w:val="24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4"/>
        </w:rPr>
        <w:t>（４）案内件数</w:t>
      </w: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・令和元年度　物件紹介　４８件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left="0" w:leftChars="0" w:right="0" w:rightChars="0" w:firstLine="480" w:firstLineChars="200"/>
        <w:jc w:val="both"/>
        <w:rPr>
          <w:rFonts w:hint="eastAsia"/>
        </w:rPr>
      </w:pPr>
      <w:r>
        <w:rPr>
          <w:rFonts w:hint="eastAsia"/>
          <w:color w:val="000000" w:themeColor="text1"/>
        </w:rPr>
        <w:t>・成約に至らない理由</w:t>
      </w:r>
    </w:p>
    <w:p>
      <w:pPr>
        <w:pStyle w:val="0"/>
        <w:ind w:left="0" w:leftChars="0" w:right="0" w:rightChars="0" w:firstLine="960" w:firstLineChars="400"/>
        <w:jc w:val="both"/>
        <w:rPr>
          <w:rFonts w:hint="eastAsia"/>
        </w:rPr>
      </w:pPr>
      <w:r>
        <w:rPr>
          <w:rFonts w:hint="eastAsia"/>
          <w:color w:val="000000" w:themeColor="text1"/>
        </w:rPr>
        <w:t>空き家の修繕（台所・トイレ・下水道接続など）に多額の費用が掛かる。</w:t>
      </w:r>
    </w:p>
    <w:p>
      <w:pPr>
        <w:pStyle w:val="0"/>
        <w:ind w:left="0" w:leftChars="0" w:right="0" w:rightChars="0" w:firstLine="960" w:firstLineChars="400"/>
        <w:jc w:val="both"/>
        <w:rPr>
          <w:rFonts w:hint="eastAsia"/>
        </w:rPr>
      </w:pPr>
      <w:r>
        <w:rPr>
          <w:rFonts w:hint="eastAsia"/>
        </w:rPr>
        <w:t>価格の折り合いがつかない、空き家を希望する方の人柄が気に入らないなど</w:t>
      </w:r>
    </w:p>
    <w:sectPr>
      <w:headerReference r:id="rId5" w:type="default"/>
      <w:pgSz w:w="11906" w:h="16838"/>
      <w:pgMar w:top="1417" w:right="1417" w:bottom="1020" w:left="1417" w:header="851" w:footer="567" w:gutter="0"/>
      <w:pgBorders w:zOrder="front" w:display="allPages" w:offsetFrom="page"/>
      <w:pgNumType w:fmt="numberInDash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-58" w:rightChars="-24" w:firstLine="0" w:firstLineChars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20"/>
  <w:drawingGridVerticalSpacing w:val="17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rightChars="0" w:firstLine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chart" Target="charts/chart1.xml" /><Relationship Id="rId7" Type="http://schemas.microsoft.com/office/2011/relationships/commentsExtended" Target="commentsExtended.xml" /></Relationships>
</file>

<file path=word/charts/_rels/chart1.xml.rels><?xml version="1.0" encoding="UTF-8"?><Relationships xmlns="http://schemas.openxmlformats.org/package/2006/relationships"><Relationship Id="rId1" Type="http://schemas.openxmlformats.org/officeDocument/2006/relationships/oleObject" Target="file:///G:\05&#30778;&#27874;&#26286;&#12425;&#12375;&#25512;&#36914;&#29677;\07&#31354;&#12365;&#23478;&#21608;&#30693;&#12539;&#35222;&#23519;&#38306;&#20418;\&#24195;&#22577;&#29305;&#38598;\&#31354;&#12365;&#23478;&#12398;&#25512;&#31227;&#12487;&#65293;&#12479;.xlsx" TargetMode="External" /><Relationship Id="rId2" Type="http://schemas.microsoft.com/office/2011/relationships/chartColorStyle" Target="colors1.xml" /><Relationship Id="rId3" Type="http://schemas.microsoft.com/office/2011/relationships/chartStyle" Target="style1.xml" /></Relationships>
</file>

<file path=word/charts/chart1.xml><?xml version="1.0" encoding="utf-8"?>
<c:chartSpace xmlns:a="http://schemas.openxmlformats.org/drawingml/2006/main" xmlns:r="http://schemas.openxmlformats.org/officeDocument/2006/relationships" xmlns:c="http://schemas.openxmlformats.org/drawingml/20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horzOverflow="overflow" wrap="square" anchor="ctr" anchorCtr="1"/>
          <a:lstStyle/>
          <a:p>
            <a:pPr algn="ctr" rtl="0">
              <a:defRPr kumimoji="0" lang="ja-JP" altLang="en-US"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/>
                <a:ea typeface="ＭＳ ゴシック"/>
                <a:cs typeface="+mn-cs"/>
              </a:defRPr>
            </a:pPr>
            <a:r>
              <a:rPr kumimoji="0" lang="ja-JP" altLang="en-US" sz="1600" b="1" i="0" u="none" strike="noStrike" kern="1200" cap="all" spc="120" normalizeH="0" baseline="0">
                <a:solidFill>
                  <a:schemeClr val="tx1"/>
                </a:solidFill>
                <a:latin typeface="ＭＳ ゴシック"/>
                <a:ea typeface="ＭＳ ゴシック"/>
                <a:cs typeface="+mn-cs"/>
              </a:rPr>
              <a:t>砺波市の空き家数推移</a:t>
            </a:r>
            <a:endParaRPr kumimoji="0" lang="ja-JP" altLang="en-US" sz="1600" b="1" i="0" u="none" strike="noStrike" kern="1200" cap="all" spc="120" normalizeH="0" baseline="0">
              <a:solidFill>
                <a:schemeClr val="tx1"/>
              </a:solidFill>
              <a:latin typeface="ＭＳ ゴシック"/>
              <a:ea typeface="ＭＳ ゴシック"/>
              <a:cs typeface="+mn-cs"/>
            </a:endParaRPr>
          </a:p>
        </c:rich>
      </c:tx>
      <c:layout>
        <c:manualLayout>
          <c:xMode val="edge"/>
          <c:yMode val="edge"/>
          <c:x val="0.2671755725190839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0909090909090912e-002"/>
          <c:y val="0.19444444444444445"/>
          <c:w val="0.89879931389365342"/>
          <c:h val="0.54513888888888884"/>
        </c:manualLayout>
      </c:layout>
      <c:lineChart>
        <c:grouping val="standard"/>
        <c:varyColors val="0"/>
        <c:ser>
          <c:idx val="0"/>
          <c:order val="0"/>
          <c:tx>
            <c:v>空き家数</c:v>
          </c:tx>
          <c:spPr>
            <a:noFill/>
            <a:ln w="38100" cap="rnd" cmpd="sng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chemeClr val="accent1"/>
              </a:solidFill>
              <a:ln w="38100" cmpd="sng">
                <a:solidFill>
                  <a:schemeClr val="accent1"/>
                </a:solidFill>
                <a:round/>
              </a:ln>
              <a:effectLst/>
            </c:spPr>
          </c:marker>
          <c:dPt>
            <c:idx val="0"/>
            <c:invertIfNegative val="0"/>
            <c:marker>
              <c:symbol val="diamond"/>
              <c:size val="8"/>
              <c:spPr>
                <a:solidFill>
                  <a:schemeClr val="accent1"/>
                </a:solidFill>
                <a:ln w="38100" cmpd="sng">
                  <a:solidFill>
                    <a:schemeClr val="accent1"/>
                  </a:solidFill>
                  <a:round/>
                </a:ln>
                <a:effectLst/>
              </c:spPr>
            </c:marker>
            <c:bubble3D val="0"/>
            <c:spPr>
              <a:noFill/>
              <a:ln w="38100" cap="rnd" cmpd="sng">
                <a:solidFill>
                  <a:schemeClr val="accent1"/>
                </a:solidFill>
                <a:round/>
              </a:ln>
              <a:effectLst/>
            </c:spPr>
          </c:dPt>
          <c:dPt>
            <c:idx val="1"/>
            <c:invertIfNegative val="0"/>
            <c:marker>
              <c:symbol val="diamond"/>
              <c:size val="8"/>
              <c:spPr>
                <a:solidFill>
                  <a:schemeClr val="accent1"/>
                </a:solidFill>
                <a:ln w="38100" cmpd="sng">
                  <a:solidFill>
                    <a:schemeClr val="accent1"/>
                  </a:solidFill>
                  <a:round/>
                </a:ln>
                <a:effectLst/>
              </c:spPr>
            </c:marker>
            <c:bubble3D val="0"/>
            <c:spPr>
              <a:noFill/>
              <a:ln w="38100" cap="rnd" cmpd="sng">
                <a:solidFill>
                  <a:schemeClr val="accent1"/>
                </a:solidFill>
                <a:round/>
              </a:ln>
              <a:effectLst/>
            </c:spPr>
          </c:dPt>
          <c:dPt>
            <c:idx val="2"/>
            <c:invertIfNegative val="0"/>
            <c:marker>
              <c:symbol val="diamond"/>
              <c:size val="8"/>
              <c:spPr>
                <a:solidFill>
                  <a:schemeClr val="accent1"/>
                </a:solidFill>
                <a:ln w="38100" cmpd="sng">
                  <a:solidFill>
                    <a:schemeClr val="accent1"/>
                  </a:solidFill>
                  <a:round/>
                </a:ln>
                <a:effectLst/>
              </c:spPr>
            </c:marker>
            <c:bubble3D val="0"/>
            <c:spPr>
              <a:noFill/>
              <a:ln w="38100" cap="rnd" cmpd="sng">
                <a:solidFill>
                  <a:schemeClr val="accent1"/>
                </a:solidFill>
                <a:round/>
              </a:ln>
              <a:effectLst/>
            </c:spPr>
          </c:dPt>
          <c:dPt>
            <c:idx val="3"/>
            <c:invertIfNegative val="0"/>
            <c:marker>
              <c:symbol val="diamond"/>
              <c:size val="8"/>
              <c:spPr>
                <a:solidFill>
                  <a:schemeClr val="accent1"/>
                </a:solidFill>
                <a:ln w="38100" cmpd="sng">
                  <a:solidFill>
                    <a:schemeClr val="accent1"/>
                  </a:solidFill>
                  <a:round/>
                </a:ln>
                <a:effectLst/>
              </c:spPr>
            </c:marker>
            <c:bubble3D val="0"/>
            <c:spPr>
              <a:noFill/>
              <a:ln w="38100" cap="rnd" cmpd="sng">
                <a:solidFill>
                  <a:schemeClr val="accent1"/>
                </a:solidFill>
                <a:round/>
              </a:ln>
              <a:effectLst/>
            </c:spPr>
          </c:dPt>
          <c:dPt>
            <c:idx val="4"/>
            <c:invertIfNegative val="0"/>
            <c:marker>
              <c:symbol val="diamond"/>
              <c:size val="8"/>
              <c:spPr>
                <a:solidFill>
                  <a:schemeClr val="accent1"/>
                </a:solidFill>
                <a:ln w="38100" cmpd="sng">
                  <a:solidFill>
                    <a:schemeClr val="accent1"/>
                  </a:solidFill>
                  <a:round/>
                </a:ln>
                <a:effectLst/>
              </c:spPr>
            </c:marker>
            <c:bubble3D val="0"/>
            <c:spPr>
              <a:noFill/>
              <a:ln w="38100" cap="rnd" cmpd="sng">
                <a:solidFill>
                  <a:schemeClr val="accent1"/>
                </a:solidFill>
                <a:round/>
              </a:ln>
              <a:effectLst/>
            </c:spPr>
          </c:dPt>
          <c:dPt>
            <c:idx val="5"/>
            <c:invertIfNegative val="0"/>
            <c:marker>
              <c:symbol val="diamond"/>
              <c:size val="8"/>
              <c:spPr>
                <a:solidFill>
                  <a:schemeClr val="accent1"/>
                </a:solidFill>
                <a:ln w="38100" cmpd="sng">
                  <a:solidFill>
                    <a:schemeClr val="accent1"/>
                  </a:solidFill>
                  <a:round/>
                </a:ln>
                <a:effectLst/>
              </c:spPr>
            </c:marker>
            <c:bubble3D val="0"/>
            <c:spPr>
              <a:noFill/>
              <a:ln w="38100" cap="rnd" cmpd="sng">
                <a:solidFill>
                  <a:schemeClr val="accent1"/>
                </a:solidFill>
                <a:round/>
              </a:ln>
              <a:effectLst/>
            </c:spPr>
          </c:dPt>
          <c:dPt>
            <c:idx val="6"/>
            <c:invertIfNegative val="0"/>
            <c:marker>
              <c:symbol val="diamond"/>
              <c:size val="8"/>
              <c:spPr>
                <a:solidFill>
                  <a:schemeClr val="accent1"/>
                </a:solidFill>
                <a:ln w="38100" cmpd="sng">
                  <a:solidFill>
                    <a:schemeClr val="accent1"/>
                  </a:solidFill>
                  <a:round/>
                </a:ln>
                <a:effectLst/>
              </c:spPr>
            </c:marker>
            <c:bubble3D val="0"/>
            <c:spPr>
              <a:noFill/>
              <a:ln w="38100" cap="rnd" cmpd="sng">
                <a:solidFill>
                  <a:schemeClr val="accent1"/>
                </a:solidFill>
                <a:round/>
              </a:ln>
              <a:effectLst/>
            </c:spPr>
          </c:dPt>
          <c:dPt>
            <c:idx val="7"/>
            <c:invertIfNegative val="0"/>
            <c:marker>
              <c:symbol val="diamond"/>
              <c:size val="8"/>
              <c:spPr>
                <a:solidFill>
                  <a:schemeClr val="accent1"/>
                </a:solidFill>
                <a:ln w="38100" cmpd="sng">
                  <a:solidFill>
                    <a:schemeClr val="accent1"/>
                  </a:solidFill>
                  <a:round/>
                </a:ln>
                <a:effectLst/>
              </c:spPr>
            </c:marker>
            <c:bubble3D val="0"/>
            <c:spPr>
              <a:noFill/>
              <a:ln w="38100" cap="rnd" cmpd="sng">
                <a:solidFill>
                  <a:schemeClr val="accent1"/>
                </a:solidFill>
                <a:round/>
              </a:ln>
              <a:effectLst/>
            </c:spPr>
          </c:dPt>
          <c:dPt>
            <c:idx val="8"/>
            <c:invertIfNegative val="0"/>
            <c:marker>
              <c:symbol val="diamond"/>
              <c:size val="8"/>
              <c:spPr>
                <a:solidFill>
                  <a:schemeClr val="accent1"/>
                </a:solidFill>
                <a:ln w="38100" cmpd="sng">
                  <a:solidFill>
                    <a:schemeClr val="accent1"/>
                  </a:solidFill>
                  <a:round/>
                </a:ln>
                <a:effectLst/>
              </c:spPr>
            </c:marker>
            <c:bubble3D val="0"/>
            <c:spPr>
              <a:noFill/>
              <a:ln w="38100" cap="rnd" cmpd="sng">
                <a:solidFill>
                  <a:schemeClr val="accent1"/>
                </a:solidFill>
                <a:round/>
              </a:ln>
              <a:effectLst/>
            </c:spPr>
          </c:dPt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overflow" wrap="square" lIns="36576" tIns="18288" rIns="36576" bIns="18288" anchor="ctr" anchorCtr="1">
                  <a:spAutoFit/>
                </a:bodyPr>
                <a:lstStyle/>
                <a:p>
                  <a:pPr algn="ctr" rtl="0">
                    <a:defRPr kumimoji="0" lang="ja-JP" altLang="en-US" sz="1600" b="1" i="0" u="none" strike="noStrike" kern="1200" baseline="0">
                      <a:solidFill>
                        <a:schemeClr val="tx1"/>
                      </a:solidFill>
                      <a:latin typeface="+mn-ea"/>
                      <a:ea typeface="+mn-ea"/>
                      <a:cs typeface="+mn-cs"/>
                    </a:defRPr>
                  </a:pPr>
                  <a:endParaRPr lang="ja-JP" altLang="en-US" sz="1600" b="1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overflow" wrap="square" lIns="36576" tIns="18288" rIns="36576" bIns="18288" anchor="ctr" anchorCtr="1">
                  <a:spAutoFit/>
                </a:bodyPr>
                <a:lstStyle/>
                <a:p>
                  <a:pPr algn="ctr" rtl="0">
                    <a:defRPr kumimoji="0" lang="ja-JP" altLang="en-US" sz="1600" b="1" i="0" u="none" strike="noStrike" kern="1200" baseline="0">
                      <a:solidFill>
                        <a:schemeClr val="tx1"/>
                      </a:solidFill>
                      <a:latin typeface="+mn-ea"/>
                      <a:ea typeface="+mn-ea"/>
                      <a:cs typeface="+mn-cs"/>
                    </a:defRPr>
                  </a:pPr>
                  <a:endParaRPr lang="ja-JP" altLang="en-US" sz="1600" b="1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overflow" wrap="square" lIns="36576" tIns="18288" rIns="36576" bIns="18288" anchor="ctr" anchorCtr="1">
                  <a:spAutoFit/>
                </a:bodyPr>
                <a:lstStyle/>
                <a:p>
                  <a:pPr algn="ctr" rtl="0">
                    <a:defRPr kumimoji="0" lang="ja-JP" altLang="en-US" sz="1600" b="1" i="0" u="none" strike="noStrike" kern="1200" baseline="0">
                      <a:solidFill>
                        <a:schemeClr val="tx1"/>
                      </a:solidFill>
                      <a:latin typeface="+mn-ea"/>
                      <a:ea typeface="+mn-ea"/>
                      <a:cs typeface="+mn-cs"/>
                    </a:defRPr>
                  </a:pPr>
                  <a:endParaRPr lang="ja-JP" altLang="en-US" sz="1600" b="1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overflow" wrap="square" lIns="36576" tIns="18288" rIns="36576" bIns="18288" anchor="ctr" anchorCtr="1">
                  <a:spAutoFit/>
                </a:bodyPr>
                <a:lstStyle/>
                <a:p>
                  <a:pPr algn="ctr" rtl="0">
                    <a:defRPr kumimoji="0" lang="ja-JP" altLang="en-US" sz="1600" b="1" i="0" u="none" strike="noStrike" kern="1200" baseline="0">
                      <a:solidFill>
                        <a:schemeClr val="tx1"/>
                      </a:solidFill>
                      <a:latin typeface="+mn-ea"/>
                      <a:ea typeface="+mn-ea"/>
                      <a:cs typeface="+mn-cs"/>
                    </a:defRPr>
                  </a:pPr>
                  <a:endParaRPr lang="ja-JP" altLang="en-US" sz="1600" b="1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overflow" wrap="square" lIns="36576" tIns="18288" rIns="36576" bIns="18288" anchor="ctr" anchorCtr="1">
                  <a:spAutoFit/>
                </a:bodyPr>
                <a:lstStyle/>
                <a:p>
                  <a:pPr algn="ctr" rtl="0">
                    <a:defRPr kumimoji="0" lang="ja-JP" altLang="en-US" sz="1600" b="1" i="0" u="none" strike="noStrike" kern="1200" baseline="0">
                      <a:solidFill>
                        <a:schemeClr val="tx1"/>
                      </a:solidFill>
                      <a:latin typeface="+mn-ea"/>
                      <a:ea typeface="+mn-ea"/>
                      <a:cs typeface="+mn-cs"/>
                    </a:defRPr>
                  </a:pPr>
                  <a:endParaRPr lang="ja-JP" altLang="en-US" sz="1600" b="1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overflow" wrap="square" lIns="36576" tIns="18288" rIns="36576" bIns="18288" anchor="ctr" anchorCtr="1">
                  <a:spAutoFit/>
                </a:bodyPr>
                <a:lstStyle/>
                <a:p>
                  <a:pPr algn="ctr" rtl="0">
                    <a:defRPr kumimoji="0" lang="ja-JP" altLang="en-US" sz="1600" b="1" i="0" u="none" strike="noStrike" kern="1200" baseline="0">
                      <a:solidFill>
                        <a:schemeClr val="tx1"/>
                      </a:solidFill>
                      <a:latin typeface="+mn-ea"/>
                      <a:ea typeface="+mn-ea"/>
                      <a:cs typeface="+mn-cs"/>
                    </a:defRPr>
                  </a:pPr>
                  <a:endParaRPr lang="ja-JP" altLang="en-US" sz="1600" b="1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overflow" wrap="square" lIns="36576" tIns="18288" rIns="36576" bIns="18288" anchor="ctr" anchorCtr="1">
                  <a:spAutoFit/>
                </a:bodyPr>
                <a:lstStyle/>
                <a:p>
                  <a:pPr algn="ctr" rtl="0">
                    <a:defRPr kumimoji="0" lang="ja-JP" altLang="en-US" sz="1600" b="1" i="0" u="none" strike="noStrike" kern="1200" baseline="0">
                      <a:solidFill>
                        <a:schemeClr val="tx1"/>
                      </a:solidFill>
                      <a:latin typeface="+mn-ea"/>
                      <a:ea typeface="+mn-ea"/>
                      <a:cs typeface="+mn-cs"/>
                    </a:defRPr>
                  </a:pPr>
                  <a:endParaRPr lang="ja-JP" altLang="en-US" sz="1600" b="1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overflow" wrap="square" lIns="36576" tIns="18288" rIns="36576" bIns="18288" anchor="ctr" anchorCtr="1">
                  <a:spAutoFit/>
                </a:bodyPr>
                <a:lstStyle/>
                <a:p>
                  <a:pPr algn="ctr" rtl="0">
                    <a:defRPr kumimoji="0" lang="ja-JP" altLang="en-US" sz="1600" b="1" i="0" u="none" strike="noStrike" kern="1200" baseline="0">
                      <a:solidFill>
                        <a:schemeClr val="tx1"/>
                      </a:solidFill>
                      <a:latin typeface="+mn-ea"/>
                      <a:ea typeface="+mn-ea"/>
                      <a:cs typeface="+mn-cs"/>
                    </a:defRPr>
                  </a:pPr>
                  <a:endParaRPr lang="ja-JP" altLang="en-US" sz="1600" b="1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overflow" wrap="square" lIns="36576" tIns="18288" rIns="36576" bIns="18288" anchor="ctr" anchorCtr="1">
                  <a:spAutoFit/>
                </a:bodyPr>
                <a:lstStyle/>
                <a:p>
                  <a:pPr algn="ctr" rtl="0">
                    <a:defRPr kumimoji="0" lang="ja-JP" altLang="en-US" sz="1600" b="1" i="0" u="none" strike="noStrike" kern="1200" baseline="0">
                      <a:solidFill>
                        <a:schemeClr val="tx1"/>
                      </a:solidFill>
                      <a:latin typeface="+mn-ea"/>
                      <a:ea typeface="+mn-ea"/>
                      <a:cs typeface="+mn-cs"/>
                    </a:defRPr>
                  </a:pPr>
                  <a:endParaRPr lang="ja-JP" altLang="en-US" sz="1600" b="1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overflow" wrap="square" lIns="36576" tIns="18288" rIns="36576" bIns="18288" anchor="ctr" anchorCtr="1">
                <a:spAutoFit/>
              </a:bodyPr>
              <a:lstStyle/>
              <a:p>
                <a:pPr algn="ctr" rtl="0">
                  <a:defRPr kumimoji="0" lang="ja-JP" altLang="en-US" sz="1600" b="1" i="0" u="none" strike="noStrike" kern="1200" baseline="0">
                    <a:solidFill>
                      <a:schemeClr val="tx1"/>
                    </a:solidFill>
                    <a:latin typeface="+mn-ea"/>
                    <a:ea typeface="+mn-ea"/>
                    <a:cs typeface="+mn-cs"/>
                  </a:defRPr>
                </a:pPr>
                <a:endParaRPr lang="ja-JP" alt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noFill/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='[0]R2.3 (2)'!$B$2:$J$2</c:f>
              <c:numCache>
                <c:formatCode>General</c:formatCode>
                <c:ptCount val="9"/>
              </c:numCache>
            </c:numRef>
          </c:cat>
          <c:val>
            <c:numRef>
              <c:f>='R2.3 (2)'!$B$3:$J$3</c:f>
              <c:numCache>
                <c:formatCode>General</c:formatCode>
                <c:ptCount val="9"/>
                <c:pt idx="0">
                  <c:v>305</c:v>
                </c:pt>
                <c:pt idx="1">
                  <c:v>337</c:v>
                </c:pt>
                <c:pt idx="2">
                  <c:v>338</c:v>
                </c:pt>
                <c:pt idx="3">
                  <c:v>351</c:v>
                </c:pt>
                <c:pt idx="4">
                  <c:v>403</c:v>
                </c:pt>
                <c:pt idx="5">
                  <c:v>423</c:v>
                </c:pt>
                <c:pt idx="6">
                  <c:v>467</c:v>
                </c:pt>
                <c:pt idx="7">
                  <c:v>478</c:v>
                </c:pt>
                <c:pt idx="8">
                  <c:v>460</c:v>
                </c:pt>
              </c:numCache>
            </c:numRef>
          </c:val>
          <c:smooth val="0"/>
        </c:ser>
        <c:ser>
          <c:idx val="1"/>
          <c:order val="1"/>
          <c:tx>
            <c:v>解消</c:v>
          </c:tx>
          <c:spPr>
            <a:noFill/>
            <a:ln w="28575" cap="rnd" cmpd="sng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2"/>
              </a:solidFill>
              <a:ln w="28575" cmpd="sng">
                <a:solidFill>
                  <a:schemeClr val="accent2"/>
                </a:solidFill>
                <a:round/>
              </a:ln>
              <a:effectLst/>
            </c:spPr>
          </c:marker>
          <c:dPt>
            <c:idx val="8"/>
            <c:invertIfNegative val="0"/>
            <c:marker>
              <c:symbol val="square"/>
              <c:size val="8"/>
              <c:spPr>
                <a:solidFill>
                  <a:schemeClr val="accent2"/>
                </a:solidFill>
                <a:ln w="28575" cmpd="sng">
                  <a:solidFill>
                    <a:schemeClr val="accent2"/>
                  </a:solidFill>
                  <a:round/>
                </a:ln>
                <a:effectLst/>
              </c:spPr>
            </c:marker>
            <c:bubble3D val="0"/>
            <c:spPr>
              <a:noFill/>
              <a:ln w="28575" cap="rnd" cmpd="sng">
                <a:solidFill>
                  <a:schemeClr val="accent2"/>
                </a:solidFill>
                <a:round/>
              </a:ln>
              <a:effectLst/>
            </c:spPr>
          </c:dPt>
          <c:dLbls>
            <c:dLbl>
              <c:idx val="8"/>
              <c:layout>
                <c:manualLayout>
                  <c:x val="-2.2679506399607426e-002"/>
                  <c:y val="-9.4020487022455523e-0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overflow" wrap="square" lIns="36576" tIns="18288" rIns="36576" bIns="18288" anchor="ctr" anchorCtr="1">
                  <a:noAutofit/>
                </a:bodyPr>
                <a:lstStyle/>
                <a:p>
                  <a:pPr algn="ctr" rtl="0">
                    <a:defRPr kumimoji="0" lang="ja-JP" altLang="en-US" sz="16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 alt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895368782161235e-002"/>
                      <c:h val="8.3333333333333329e-00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overflow" wrap="square" lIns="36576" tIns="18288" rIns="36576" bIns="18288" anchor="ctr" anchorCtr="1">
                <a:spAutoFit/>
              </a:bodyPr>
              <a:lstStyle/>
              <a:p>
                <a:pPr algn="ctr" rtl="0">
                  <a:defRPr kumimoji="0" lang="ja-JP" altLang="en-US" sz="16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ja-JP" alt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noFill/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='[0]R2.3 (2)'!$B$2:$J$2</c:f>
              <c:numCache>
                <c:formatCode>General</c:formatCode>
                <c:ptCount val="9"/>
              </c:numCache>
            </c:numRef>
          </c:cat>
          <c:val>
            <c:numRef>
              <c:f>='R2.3 (2)'!$B$4:$J$4</c:f>
              <c:numCache>
                <c:formatCode>General</c:formatCode>
                <c:ptCount val="9"/>
                <c:pt idx="1">
                  <c:v>32</c:v>
                </c:pt>
                <c:pt idx="2">
                  <c:v>58</c:v>
                </c:pt>
                <c:pt idx="3">
                  <c:v>27</c:v>
                </c:pt>
                <c:pt idx="4">
                  <c:v>29</c:v>
                </c:pt>
                <c:pt idx="5">
                  <c:v>43</c:v>
                </c:pt>
                <c:pt idx="6">
                  <c:v>28</c:v>
                </c:pt>
                <c:pt idx="7">
                  <c:v>49</c:v>
                </c:pt>
                <c:pt idx="8">
                  <c:v>73</c:v>
                </c:pt>
              </c:numCache>
            </c:numRef>
          </c:val>
          <c:smooth val="0"/>
        </c:ser>
        <c:ser>
          <c:idx val="2"/>
          <c:order val="2"/>
          <c:tx>
            <c:v>新規</c:v>
          </c:tx>
          <c:spPr>
            <a:noFill/>
            <a:ln w="28575" cap="rnd" cmpd="sng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8"/>
            <c:spPr>
              <a:solidFill>
                <a:schemeClr val="accent3"/>
              </a:solidFill>
              <a:ln w="28575" cmpd="sng">
                <a:solidFill>
                  <a:schemeClr val="accent3"/>
                </a:solidFill>
                <a:round/>
              </a:ln>
              <a:effectLst/>
            </c:spPr>
          </c:marker>
          <c:dPt>
            <c:idx val="4"/>
            <c:invertIfNegative val="0"/>
            <c:marker>
              <c:symbol val="triangle"/>
              <c:size val="8"/>
              <c:spPr>
                <a:solidFill>
                  <a:schemeClr val="accent3"/>
                </a:solidFill>
                <a:ln w="28575" cmpd="sng">
                  <a:solidFill>
                    <a:schemeClr val="accent3"/>
                  </a:solidFill>
                  <a:round/>
                </a:ln>
                <a:effectLst/>
              </c:spPr>
            </c:marker>
            <c:bubble3D val="0"/>
            <c:spPr>
              <a:noFill/>
              <a:ln w="28575" cap="rnd" cmpd="sng">
                <a:solidFill>
                  <a:schemeClr val="accent3"/>
                </a:solidFill>
                <a:round/>
              </a:ln>
              <a:effectLst/>
            </c:spPr>
          </c:dPt>
          <c:dPt>
            <c:idx val="8"/>
            <c:invertIfNegative val="0"/>
            <c:marker>
              <c:symbol val="triangle"/>
              <c:size val="8"/>
              <c:spPr>
                <a:solidFill>
                  <a:schemeClr val="accent3"/>
                </a:solidFill>
                <a:ln w="28575" cmpd="sng">
                  <a:solidFill>
                    <a:schemeClr val="accent3"/>
                  </a:solidFill>
                  <a:round/>
                </a:ln>
                <a:effectLst/>
              </c:spPr>
            </c:marker>
            <c:bubble3D val="0"/>
            <c:spPr>
              <a:noFill/>
              <a:ln w="28575" cap="rnd" cmpd="sng">
                <a:solidFill>
                  <a:schemeClr val="accent3"/>
                </a:solidFill>
                <a:round/>
              </a:ln>
              <a:effectLst/>
            </c:spPr>
          </c:dPt>
          <c:dLbls>
            <c:dLbl>
              <c:idx val="4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overflow" wrap="square" lIns="36576" tIns="18288" rIns="36576" bIns="18288" anchor="ctr" anchorCtr="1">
                  <a:spAutoFit/>
                </a:bodyPr>
                <a:lstStyle/>
                <a:p>
                  <a:pPr algn="ctr" rtl="0">
                    <a:defRPr kumimoji="0" lang="ja-JP" altLang="en-US" sz="1600" b="1" i="0" u="none" strike="noStrike" kern="1200" baseline="0">
                      <a:solidFill>
                        <a:srgbClr val="92D05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 altLang="en-U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0485811915020058e-002"/>
                  <c:y val="9.1215368912219305e-0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overflow" wrap="square" lIns="36576" tIns="18288" rIns="36576" bIns="18288" anchor="ctr" anchorCtr="1">
                  <a:spAutoFit/>
                </a:bodyPr>
                <a:lstStyle/>
                <a:p>
                  <a:pPr algn="ctr" rtl="0">
                    <a:defRPr kumimoji="0" lang="ja-JP" altLang="en-US" sz="1600" b="1" i="0" u="none" strike="noStrike" kern="1200" baseline="0">
                      <a:solidFill>
                        <a:srgbClr val="92D05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 alt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overflow" wrap="square" lIns="36576" tIns="18288" rIns="36576" bIns="18288" anchor="ctr" anchorCtr="1">
                <a:spAutoFit/>
              </a:bodyPr>
              <a:lstStyle/>
              <a:p>
                <a:pPr algn="ctr" rtl="0">
                  <a:defRPr kumimoji="0" lang="ja-JP" altLang="en-US" sz="1600" b="1" i="0" u="none" strike="noStrike" kern="1200" baseline="0">
                    <a:solidFill>
                      <a:srgbClr val="92D050"/>
                    </a:solidFill>
                    <a:latin typeface="+mn-lt"/>
                    <a:ea typeface="+mn-ea"/>
                    <a:cs typeface="+mn-cs"/>
                  </a:defRPr>
                </a:pPr>
                <a:endParaRPr lang="ja-JP" alt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noFill/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='[0]R2.3 (2)'!$B$2:$J$2</c:f>
              <c:numCache>
                <c:formatCode>General</c:formatCode>
                <c:ptCount val="9"/>
              </c:numCache>
            </c:numRef>
          </c:cat>
          <c:val>
            <c:numRef>
              <c:f>='R2.3 (2)'!$B$5:$J$5</c:f>
              <c:numCache>
                <c:formatCode>General</c:formatCode>
                <c:ptCount val="9"/>
                <c:pt idx="1">
                  <c:v>64</c:v>
                </c:pt>
                <c:pt idx="2">
                  <c:v>59</c:v>
                </c:pt>
                <c:pt idx="3">
                  <c:v>40</c:v>
                </c:pt>
                <c:pt idx="4">
                  <c:v>81</c:v>
                </c:pt>
                <c:pt idx="5">
                  <c:v>63</c:v>
                </c:pt>
                <c:pt idx="6">
                  <c:v>72</c:v>
                </c:pt>
                <c:pt idx="7">
                  <c:v>60</c:v>
                </c:pt>
                <c:pt idx="8">
                  <c:v>55</c:v>
                </c:pt>
              </c:numCache>
            </c:numRef>
          </c:val>
          <c:smooth val="1"/>
        </c:ser>
        <c:dLbls>
          <c:spPr>
            <a:noFill/>
            <a:ln>
              <a:noFill/>
            </a:ln>
            <a:effectLst/>
          </c:spPr>
          <c:txPr>
            <a:bodyPr rot="0" spcFirstLastPara="1" vertOverflow="ellipsis" horzOverflow="overflow" wrap="square" anchor="ctr" anchorCtr="1">
              <a:spAutoFit/>
            </a:bodyPr>
            <a:lstStyle/>
            <a:p>
              <a:pPr algn="ctr" rtl="0">
                <a:defRPr lang="ja-JP" altLang="en-US" sz="9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 altLang="en-US"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endParaRPr>
            </a:p>
          </c:txPr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"/>
        <c:axId val="2"/>
      </c:lineChart>
      <c:dateAx>
        <c:axId val="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horzOverflow="overflow" wrap="square" anchor="ctr" anchorCtr="1"/>
          <a:lstStyle/>
          <a:p>
            <a:pPr algn="ctr" rtl="0">
              <a:defRPr kumimoji="0" lang="ja-JP" altLang="en-US" sz="1100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 altLang="en-US"/>
          </a:p>
        </c:txPr>
        <c:crossAx val="2"/>
        <c:crossesAt val="0"/>
        <c:auto val="1"/>
        <c:lblOffset val="500"/>
      </c:dateAx>
      <c:valAx>
        <c:axId val="2"/>
        <c:scaling>
          <c:orientation val="minMax"/>
          <c:max val="500"/>
          <c:min val="0"/>
        </c:scaling>
        <c:delete val="0"/>
        <c:axPos val="l"/>
        <c:majorGridlines>
          <c:spPr>
            <a:noFill/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horzOverflow="overflow" wrap="square" anchor="t" anchorCtr="0"/>
          <a:lstStyle/>
          <a:p>
            <a:pPr algn="ctr" rtl="0">
              <a:defRPr kumimoji="0" lang="ja-JP" altLang="en-US" sz="1400" kern="12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 altLang="en-US"/>
          </a:p>
        </c:txPr>
        <c:crossAx val="1"/>
        <c:crosses val="autoZero"/>
        <c:crossBetween val="between"/>
        <c:majorUnit val="100"/>
        <c:minorUnit val="50"/>
      </c:valAx>
      <c:spPr>
        <a:noFill/>
        <a:ln/>
        <a:effectLst/>
      </c:spPr>
    </c:plotArea>
    <c:legend>
      <c:legendPos val="b"/>
      <c:legendEntry>
        <c:idx val="0"/>
        <c:txPr>
          <a:bodyPr rot="0" spcFirstLastPara="1" vertOverflow="ellipsis" horzOverflow="overflow" wrap="square" anchor="ctr" anchorCtr="1"/>
          <a:lstStyle/>
          <a:p>
            <a:pPr algn="l" rtl="0">
              <a:defRPr kumimoji="0" lang="ja-JP" altLang="en-US" sz="1400" kern="12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 altLang="en-US"/>
          </a:p>
        </c:txPr>
      </c:legendEntry>
      <c:legendEntry>
        <c:idx val="1"/>
        <c:txPr>
          <a:bodyPr rot="0" spcFirstLastPara="1" vertOverflow="ellipsis" horzOverflow="overflow" wrap="square" anchor="ctr" anchorCtr="1"/>
          <a:lstStyle/>
          <a:p>
            <a:pPr algn="l" rtl="0">
              <a:defRPr kumimoji="0" lang="ja-JP" altLang="en-US" sz="1400" kern="12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 altLang="en-US"/>
          </a:p>
        </c:txPr>
      </c:legendEntry>
      <c:legendEntry>
        <c:idx val="2"/>
        <c:txPr>
          <a:bodyPr rot="0" spcFirstLastPara="1" vertOverflow="ellipsis" horzOverflow="overflow" wrap="square" anchor="ctr" anchorCtr="1"/>
          <a:lstStyle/>
          <a:p>
            <a:pPr algn="l" rtl="0">
              <a:defRPr kumimoji="0" lang="ja-JP" altLang="en-US" sz="1400" kern="12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 altLang="en-US"/>
          </a:p>
        </c:txPr>
      </c:legendEntry>
      <c:layout>
        <c:manualLayout>
          <c:xMode val="edge"/>
          <c:yMode val="edge"/>
          <c:x val="0.25538971807628524"/>
          <c:y val="0.88541666666666652"/>
          <c:w val="0.48756218905472642"/>
          <c:h val="0.114583333333333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horzOverflow="overflow" wrap="square" anchor="ctr" anchorCtr="1"/>
        <a:lstStyle/>
        <a:p>
          <a:pPr algn="l" rtl="0">
            <a:defRPr lang="ja-JP" altLang="en-US" sz="900" kern="12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 altLang="en-US" sz="900" kern="1200">
            <a:solidFill>
              <a:schemeClr val="tx1">
                <a:lumMod val="65000"/>
                <a:lumOff val="35000"/>
              </a:schemeClr>
            </a:solidFill>
            <a:latin typeface="+mn-lt"/>
            <a:ea typeface="+mn-ea"/>
            <a:cs typeface="+mn-cs"/>
          </a:endParaRPr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vertOverflow="overflow" horzOverflow="overflow" anchor="ctr" anchorCtr="1"/>
    <a:lstStyle/>
    <a:p>
      <a:pPr algn="ctr" rtl="0">
        <a:defRPr lang="ja-JP" altLang="en-US" sz="1000">
          <a:solidFill>
            <a:schemeClr val="tx1"/>
          </a:solidFill>
        </a:defRPr>
      </a:pPr>
      <a:endParaRPr lang="ja-JP" altLang="en-US"/>
    </a:p>
  </c:txPr>
  <c:externalData r:id="rId1">
    <c:autoUpdate val="0"/>
  </c:externalData>
  <c:extLst>
    <c:ext xmlns:c14="http://schemas.microsoft.com/office/drawing/2007/8/2/chart" uri="{781A3756-C4B2-4CAC-9D66-4F8BD8637D16}"/>
  </c:extLst>
</c:chartSpace>
</file>

<file path=word/charts/colors1.xml><?xml version="1.0" encoding="utf-8"?>
<cs:colorStyle xmlns:a="http://schemas.openxmlformats.org/drawingml/2006/main" xmlns:cs="http://schemas.microsoft.com/office/drawing/2012/chartStyle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a="http://schemas.openxmlformats.org/drawingml/2006/main" xmlns:cs="http://schemas.microsoft.com/office/drawing/2012/chartStyle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vertOverflow="clip" horzOverflow="clip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3227</TotalTime>
  <Pages>2</Pages>
  <Words>48</Words>
  <Characters>598</Characters>
  <Application>Microsoft Office Word</Application>
  <Lines>110</Lines>
  <Paragraphs>84</Paragraphs>
  <CharactersWithSpaces>734</CharactersWithSpaces>
  <AppVersion>1.20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秀和</cp:lastModifiedBy>
  <cp:lastPrinted>2020-08-21T00:37:57Z</cp:lastPrinted>
  <dcterms:modified xsi:type="dcterms:W3CDTF">2020-08-21T00:32:14Z</dcterms:modified>
  <cp:revision>63</cp:revision>
</cp:coreProperties>
</file>