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ゴシック" w:hAnsi="ＭＳ ゴシック" w:eastAsia="ＭＳ ゴシック"/>
          <w:color w:val="FF0000"/>
          <w:sz w:val="24"/>
        </w:rPr>
      </w:pPr>
      <w:r>
        <w:rPr>
          <w:rFonts w:hint="eastAsia" w:ascii="ＭＳ ゴシック" w:hAnsi="ＭＳ ゴシック" w:eastAsia="ＭＳ ゴシック"/>
          <w:sz w:val="24"/>
        </w:rPr>
        <w:t>経営安定関連保証５号の様式例集</w:t>
      </w:r>
      <w:r>
        <w:rPr>
          <w:rFonts w:hint="eastAsia" w:ascii="ＭＳ ゴシック" w:hAnsi="ＭＳ ゴシック" w:eastAsia="ＭＳ ゴシック"/>
          <w:color w:val="FF0000"/>
          <w:sz w:val="24"/>
        </w:rPr>
        <w:t>（令和６年１２月以降）</w:t>
      </w:r>
    </w:p>
    <w:tbl>
      <w:tblPr>
        <w:tblStyle w:val="45"/>
        <w:tblW w:w="8500" w:type="dxa"/>
        <w:tblInd w:w="0" w:type="dxa"/>
        <w:tblLayout w:type="fixed"/>
        <w:tblLook w:firstRow="1" w:lastRow="0" w:firstColumn="1" w:lastColumn="0" w:noHBand="0" w:noVBand="1" w:val="04A0"/>
      </w:tblPr>
      <w:tblGrid>
        <w:gridCol w:w="2263"/>
        <w:gridCol w:w="4678"/>
        <w:gridCol w:w="1559"/>
      </w:tblGrid>
      <w:tr>
        <w:trPr>
          <w:trHeight w:val="261"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通常の様式例</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370"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様式第５－（イ）－①</w:t>
            </w:r>
          </w:p>
        </w:tc>
      </w:tr>
      <w:tr>
        <w:trPr>
          <w:trHeight w:val="276"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様式第５－（イ）－②</w:t>
            </w:r>
          </w:p>
        </w:tc>
      </w:tr>
      <w:tr>
        <w:trPr>
          <w:trHeight w:val="261"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創業者の様式例</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様式第５－（イ）－③</w:t>
            </w:r>
          </w:p>
        </w:tc>
      </w:tr>
      <w:tr>
        <w:trPr>
          <w:trHeight w:val="782" w:hRule="atLeast"/>
        </w:trPr>
        <w:tc>
          <w:tcPr>
            <w:tcW w:w="2263" w:type="dxa"/>
            <w:vMerge w:val="continue"/>
            <w:vAlign w:val="top"/>
          </w:tcPr>
          <w:p>
            <w:pPr>
              <w:pStyle w:val="0"/>
              <w:widowControl w:val="1"/>
              <w:jc w:val="left"/>
              <w:rPr>
                <w:rFonts w:hint="default" w:ascii="ＭＳ ゴシック" w:hAnsi="ＭＳ ゴシック" w:eastAsia="ＭＳ ゴシック"/>
                <w:sz w:val="24"/>
              </w:rPr>
            </w:pPr>
          </w:p>
        </w:tc>
        <w:tc>
          <w:tcPr>
            <w:tcW w:w="467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様式第５－（イ）－④</w:t>
            </w:r>
          </w:p>
        </w:tc>
      </w:tr>
      <w:tr>
        <w:trPr>
          <w:trHeight w:val="320"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原油高の様式例</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様式第５－（ロ）－①</w:t>
            </w: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様式第５－（ロ）－②</w:t>
            </w:r>
          </w:p>
        </w:tc>
      </w:tr>
      <w:tr>
        <w:trPr>
          <w:trHeight w:val="348" w:hRule="atLeast"/>
        </w:trPr>
        <w:tc>
          <w:tcPr>
            <w:tcW w:w="226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利益率の様式例</w:t>
            </w:r>
          </w:p>
        </w:tc>
        <w:tc>
          <w:tcPr>
            <w:tcW w:w="623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指定業種に属する事業のみを営んでいる場合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様式第５－（ハ）－①</w:t>
            </w:r>
          </w:p>
        </w:tc>
      </w:tr>
      <w:tr>
        <w:trPr>
          <w:trHeight w:val="782" w:hRule="atLeast"/>
        </w:trPr>
        <w:tc>
          <w:tcPr>
            <w:tcW w:w="226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p>
        </w:tc>
        <w:tc>
          <w:tcPr>
            <w:tcW w:w="467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指定業種と非指定業種を営んでいる場合</w:t>
            </w:r>
          </w:p>
        </w:tc>
        <w:tc>
          <w:tcPr>
            <w:tcW w:w="155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様式第５－（ハ）－②</w:t>
            </w: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【（イ）－①】指定事業のみ（兼業含む）を行っており、中小企業者全体における最近</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か月間の売上高等が前年同期の売上高等と比較して</w:t>
      </w:r>
      <w:r>
        <w:rPr>
          <w:rFonts w:hint="eastAsia" w:ascii="ＭＳ ゴシック" w:hAnsi="ＭＳ ゴシック" w:eastAsia="ＭＳ ゴシック"/>
          <w:sz w:val="24"/>
        </w:rPr>
        <w:t>5</w:t>
      </w:r>
      <w:r>
        <w:rPr>
          <w:rFonts w:hint="eastAsia" w:ascii="ＭＳ ゴシック" w:hAnsi="ＭＳ ゴシック" w:eastAsia="ＭＳ ゴシック"/>
          <w:sz w:val="24"/>
        </w:rPr>
        <w:t>％以上減少していること。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【（イ）－②】指定事業と指定業種に属さない事業（以下、「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非指定事業」</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という。）を行っており、最近３か月における指定事業の売上高等が中小企業者全体の売上高等の５％以上を占めており、かつ、中小企業者全体と指定事業それぞれの最近３か月の売上高等が前年同期の売上高等と比較して５％以上減少し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【（イ）－③】創業者等であって指定事業のみ（兼業含む）を行っており、中小企業者全体における最近１か月の売上高等がその直前３か月の月平均売上高等と比較して５％以上減少していること。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イ）－④】創業者等であって指定事業と非指定事業を行っており、最近１か月における指定事業の売上高等が中小企業者全体の売上高等の５％以上を占めており、かつ、中小企業者全体と指定事業それぞれの最近１か月の売上高等がその直前３か月の月平均売上高等と比較して５％以上減少し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【（ロ）－①】指定事業のみ（兼業含む）を行っており、（１）中小企業者全体における最近１か月の売上原価のうち原油等の仕入額が</w:t>
      </w:r>
      <w:r>
        <w:rPr>
          <w:rFonts w:hint="eastAsia" w:ascii="ＭＳ ゴシック" w:hAnsi="ＭＳ ゴシック" w:eastAsia="ＭＳ ゴシック"/>
          <w:sz w:val="24"/>
        </w:rPr>
        <w:t>20</w:t>
      </w:r>
      <w:r>
        <w:rPr>
          <w:rFonts w:hint="eastAsia" w:ascii="ＭＳ ゴシック" w:hAnsi="ＭＳ ゴシック" w:eastAsia="ＭＳ ゴシック"/>
          <w:sz w:val="24"/>
        </w:rPr>
        <w:t>％以上を占めていること、（２）中小企業者全体における最近１か月の原油等仕入単価が前年同月と比較して</w:t>
      </w:r>
      <w:r>
        <w:rPr>
          <w:rFonts w:hint="eastAsia" w:ascii="ＭＳ ゴシック" w:hAnsi="ＭＳ ゴシック" w:eastAsia="ＭＳ ゴシック"/>
          <w:sz w:val="24"/>
        </w:rPr>
        <w:t>20</w:t>
      </w:r>
      <w:r>
        <w:rPr>
          <w:rFonts w:hint="eastAsia" w:ascii="ＭＳ ゴシック" w:hAnsi="ＭＳ ゴシック" w:eastAsia="ＭＳ ゴシック"/>
          <w:sz w:val="24"/>
        </w:rPr>
        <w:t>％以上上昇していること、（３）中小企業者全体における最近３か月の売上高に占める原油等の仕入額の割合が前年同期と比較して上回っていること。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【（ロ）－②】指定事業と非指定事業を行っており、最近１か月における指定事業の売上原価が中小企業者全体の売上原価の</w:t>
      </w:r>
      <w:r>
        <w:rPr>
          <w:rFonts w:hint="eastAsia" w:ascii="ＭＳ ゴシック" w:hAnsi="ＭＳ ゴシック" w:eastAsia="ＭＳ ゴシック"/>
          <w:sz w:val="24"/>
        </w:rPr>
        <w:t>20</w:t>
      </w:r>
      <w:r>
        <w:rPr>
          <w:rFonts w:hint="eastAsia" w:ascii="ＭＳ ゴシック" w:hAnsi="ＭＳ ゴシック" w:eastAsia="ＭＳ ゴシック"/>
          <w:sz w:val="24"/>
        </w:rPr>
        <w:t>％以上を占めており、かつ、（１）中小企業者全体と指定事業それぞれの最近１か月の売上原価のうち原油等の仕入額が</w:t>
      </w:r>
      <w:r>
        <w:rPr>
          <w:rFonts w:hint="eastAsia" w:ascii="ＭＳ ゴシック" w:hAnsi="ＭＳ ゴシック" w:eastAsia="ＭＳ ゴシック"/>
          <w:sz w:val="24"/>
        </w:rPr>
        <w:t>20</w:t>
      </w:r>
      <w:r>
        <w:rPr>
          <w:rFonts w:hint="eastAsia" w:ascii="ＭＳ ゴシック" w:hAnsi="ＭＳ ゴシック" w:eastAsia="ＭＳ ゴシック"/>
          <w:sz w:val="24"/>
        </w:rPr>
        <w:t>％以上を占めていること、（２）指定事業の最近１か月の原油等仕入単価が前年同月と比較して</w:t>
      </w:r>
      <w:r>
        <w:rPr>
          <w:rFonts w:hint="eastAsia" w:ascii="ＭＳ ゴシック" w:hAnsi="ＭＳ ゴシック" w:eastAsia="ＭＳ ゴシック"/>
          <w:sz w:val="24"/>
        </w:rPr>
        <w:t>20</w:t>
      </w:r>
      <w:r>
        <w:rPr>
          <w:rFonts w:hint="eastAsia" w:ascii="ＭＳ ゴシック" w:hAnsi="ＭＳ ゴシック" w:eastAsia="ＭＳ ゴシック"/>
          <w:sz w:val="24"/>
        </w:rPr>
        <w:t>％以上上昇していること、（３）中小企業者全体と指定事業それぞれの最近３か月の売上高に占める原油等の仕入額の割合が前年同期と比較して上回っていること。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【（ハ）－①】指定事業のみ（兼業含む）を行っており、中小企業者全体における最近３か月の月平均売上高営業利益率が前年同期と比較して</w:t>
      </w:r>
      <w:r>
        <w:rPr>
          <w:rFonts w:hint="eastAsia" w:ascii="ＭＳ ゴシック" w:hAnsi="ＭＳ ゴシック" w:eastAsia="ＭＳ ゴシック"/>
          <w:sz w:val="24"/>
        </w:rPr>
        <w:t>20</w:t>
      </w:r>
      <w:r>
        <w:rPr>
          <w:rFonts w:hint="eastAsia" w:ascii="ＭＳ ゴシック" w:hAnsi="ＭＳ ゴシック" w:eastAsia="ＭＳ ゴシック"/>
          <w:sz w:val="24"/>
        </w:rPr>
        <w:t>％以上減少していること。</w:t>
      </w:r>
      <w:r>
        <w:rPr>
          <w:rFonts w:hint="eastAsia" w:ascii="ＭＳ ゴシック" w:hAnsi="ＭＳ ゴシック" w:eastAsia="ＭＳ ゴシック"/>
          <w:sz w:val="24"/>
        </w:rPr>
        <w:t xml:space="preserve">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ハ）－②】指定事業と非指定事業を行っており、最近３か月における指定事業の売上高等が中小企業者全体の売上高の５％以上を占めており、かつ、中小企業者全体と指定事業それぞれの最近３か月の月平均売上高営業利益率が前年同期と比較して</w:t>
      </w:r>
      <w:r>
        <w:rPr>
          <w:rFonts w:hint="eastAsia" w:ascii="ＭＳ ゴシック" w:hAnsi="ＭＳ ゴシック" w:eastAsia="ＭＳ ゴシック"/>
          <w:sz w:val="24"/>
        </w:rPr>
        <w:t>20</w:t>
      </w:r>
      <w:r>
        <w:rPr>
          <w:rFonts w:hint="eastAsia" w:ascii="ＭＳ ゴシック" w:hAnsi="ＭＳ ゴシック" w:eastAsia="ＭＳ ゴシック"/>
          <w:sz w:val="24"/>
        </w:rPr>
        <w:t>％以上減少していること。</w:t>
      </w:r>
    </w:p>
    <w:p>
      <w:pPr>
        <w:rPr>
          <w:rFonts w:hint="eastAsia" w:ascii="ＭＳ ゴシック" w:hAnsi="ＭＳ ゴシック" w:eastAsia="ＭＳ ゴシック"/>
          <w:sz w:val="24"/>
        </w:rPr>
        <w:sectPr>
          <w:footerReference r:id="rId6" w:type="default"/>
          <w:pgSz w:w="11906" w:h="16838"/>
          <w:pgMar w:top="1985" w:right="1701" w:bottom="1701" w:left="1701" w:header="851" w:footer="992" w:gutter="0"/>
          <w:pgNumType w:fmt="numberInDash" w:start="1"/>
          <w:cols w:space="720"/>
          <w:textDirection w:val="lrTb"/>
          <w:docGrid w:linePitch="360"/>
        </w:sect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0" w:leftChars="0" w:right="420" w:rightChars="200"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ind w:left="489" w:hanging="489" w:hangingChars="202"/>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rPr>
        <w:t>　</w:t>
      </w:r>
      <w:r>
        <w:rPr>
          <w:rFonts w:hint="eastAsia"/>
        </w:rPr>
        <w:t>　　</w:t>
      </w:r>
    </w:p>
    <w:p>
      <w:pPr>
        <w:pStyle w:val="0"/>
        <w:suppressAutoHyphens w:val="1"/>
        <w:wordWrap w:val="0"/>
        <w:ind w:left="489" w:hanging="489" w:hangingChars="202"/>
        <w:jc w:val="left"/>
        <w:textAlignment w:val="baseline"/>
        <w:rPr>
          <w:rFonts w:hint="default" w:ascii="ＭＳ ゴシック" w:hAnsi="ＭＳ ゴシック" w:eastAsia="ＭＳ ゴシック"/>
          <w:kern w:val="0"/>
        </w:rPr>
      </w:pPr>
    </w:p>
    <w:p>
      <w:pPr>
        <w:pStyle w:val="0"/>
        <w:suppressAutoHyphens w:val="1"/>
        <w:wordWrap w:val="0"/>
        <w:ind w:left="489" w:hanging="489" w:hangingChars="202"/>
        <w:jc w:val="left"/>
        <w:textAlignment w:val="baseline"/>
        <w:rPr>
          <w:rFonts w:hint="default" w:ascii="ＭＳ ゴシック" w:hAnsi="ＭＳ ゴシック" w:eastAsia="ＭＳ ゴシック"/>
          <w:kern w:val="0"/>
        </w:rPr>
      </w:pPr>
    </w:p>
    <w:p>
      <w:pPr>
        <w:pStyle w:val="0"/>
        <w:suppressAutoHyphens w:val="1"/>
        <w:wordWrap w:val="0"/>
        <w:ind w:left="489" w:hanging="489" w:hangingChars="202"/>
        <w:jc w:val="left"/>
        <w:textAlignment w:val="baseline"/>
        <w:rPr>
          <w:rFonts w:hint="default" w:ascii="ＭＳ ゴシック" w:hAnsi="ＭＳ ゴシック" w:eastAsia="ＭＳ ゴシック"/>
          <w:kern w:val="0"/>
        </w:rPr>
      </w:pPr>
    </w:p>
    <w:p>
      <w:pPr>
        <w:pStyle w:val="0"/>
        <w:suppressAutoHyphens w:val="1"/>
        <w:wordWrap w:val="0"/>
        <w:ind w:left="424" w:hanging="424" w:hangingChars="202"/>
        <w:jc w:val="left"/>
        <w:textAlignment w:val="baseline"/>
        <w:rPr>
          <w:rFonts w:hint="default" w:ascii="ＭＳ ゴシック" w:hAnsi="ＭＳ ゴシック" w:eastAsia="ＭＳ ゴシック"/>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420" w:rightChars="20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left="182" w:leftChars="0" w:right="420" w:rightChars="200"/>
              <w:jc w:val="right"/>
              <w:textAlignment w:val="baseline"/>
              <w:rPr>
                <w:rFonts w:hint="default" w:ascii="ＭＳ ゴシック" w:hAnsi="ＭＳ ゴシック" w:eastAsia="ＭＳ ゴシック"/>
                <w:color w:val="000000"/>
                <w:kern w:val="0"/>
                <w:u w:val="single" w:color="00000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32"/>
        <w:suppressAutoHyphens w:val="1"/>
        <w:wordWrap w:val="0"/>
        <w:spacing w:line="240" w:lineRule="exact"/>
        <w:ind w:left="650" w:leftChars="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firstLine="1694"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420" w:rightChars="2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left="182" w:leftChars="0" w:right="420" w:rightChars="200" w:firstLine="0" w:firstLineChars="0"/>
              <w:jc w:val="righ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32"/>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3"/>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32"/>
        <w:suppressAutoHyphens w:val="1"/>
        <w:wordWrap w:val="0"/>
        <w:spacing w:line="240" w:lineRule="exact"/>
        <w:ind w:left="570" w:leftChars="0"/>
        <w:jc w:val="left"/>
        <w:textAlignment w:val="baseline"/>
        <w:rPr>
          <w:rFonts w:hint="default" w:ascii="ＭＳ ゴシック" w:hAnsi="ＭＳ ゴシック" w:eastAsia="ＭＳ ゴシック"/>
          <w:color w:val="000000"/>
          <w:spacing w:val="16"/>
          <w:kern w:val="0"/>
        </w:rPr>
      </w:pPr>
    </w:p>
    <w:p>
      <w:pPr>
        <w:pStyle w:val="32"/>
        <w:suppressAutoHyphens w:val="1"/>
        <w:wordWrap w:val="0"/>
        <w:spacing w:line="240" w:lineRule="exact"/>
        <w:ind w:left="570" w:leftChars="0"/>
        <w:jc w:val="left"/>
        <w:textAlignment w:val="baseline"/>
        <w:rPr>
          <w:rFonts w:hint="default" w:ascii="ＭＳ ゴシック" w:hAnsi="ＭＳ ゴシック" w:eastAsia="ＭＳ ゴシック"/>
          <w:color w:val="000000"/>
          <w:spacing w:val="16"/>
          <w:kern w:val="0"/>
        </w:rPr>
      </w:pPr>
    </w:p>
    <w:p>
      <w:pPr>
        <w:pStyle w:val="32"/>
        <w:suppressAutoHyphens w:val="1"/>
        <w:wordWrap w:val="0"/>
        <w:spacing w:line="240" w:lineRule="exact"/>
        <w:ind w:left="570" w:leftChars="0"/>
        <w:jc w:val="left"/>
        <w:textAlignment w:val="baseline"/>
        <w:rPr>
          <w:rFonts w:hint="default" w:ascii="ＭＳ ゴシック" w:hAnsi="ＭＳ ゴシック" w:eastAsia="ＭＳ ゴシック"/>
          <w:color w:val="000000"/>
          <w:spacing w:val="16"/>
          <w:kern w:val="0"/>
        </w:rPr>
      </w:pP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7"/>
              <w:ind w:left="840"/>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420" w:rightChars="20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right="420" w:rightChars="200"/>
              <w:jc w:val="right"/>
              <w:textAlignment w:val="baseline"/>
              <w:rPr>
                <w:rFonts w:hint="default" w:ascii="ＭＳ ゴシック" w:hAnsi="ＭＳ ゴシック" w:eastAsia="ＭＳ ゴシック"/>
                <w:color w:val="000000"/>
                <w:kern w:val="0"/>
                <w:u w:val="single" w:color="00000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32"/>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4"/>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suppressAutoHyphens w:val="1"/>
        <w:wordWrap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bookmarkStart w:id="1" w:name="_Hlk179376952"/>
    </w:p>
    <w:p>
      <w:pPr>
        <w:pStyle w:val="0"/>
        <w:suppressAutoHyphens w:val="1"/>
        <w:wordWrap w:val="0"/>
        <w:ind w:firstLine="968" w:firstLineChars="4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color w:val="000000"/>
          <w:spacing w:val="16"/>
          <w:kern w:val="0"/>
        </w:rPr>
        <w:t>　</w:t>
      </w:r>
    </w:p>
    <w:p>
      <w:pPr>
        <w:pStyle w:val="0"/>
        <w:suppressAutoHyphens w:val="1"/>
        <w:wordWrap w:val="0"/>
        <w:ind w:left="424" w:hanging="424" w:hangingChars="202"/>
        <w:jc w:val="left"/>
        <w:textAlignment w:val="baseline"/>
        <w:rPr>
          <w:rFonts w:hint="default" w:ascii="ＭＳ ゴシック" w:hAnsi="ＭＳ ゴシック" w:eastAsia="ＭＳ ゴシック"/>
          <w:kern w:val="0"/>
        </w:rPr>
      </w:pPr>
    </w:p>
    <w:p>
      <w:pPr>
        <w:pStyle w:val="0"/>
        <w:suppressAutoHyphens w:val="1"/>
        <w:wordWrap w:val="0"/>
        <w:ind w:left="424" w:hanging="424" w:hangingChars="202"/>
        <w:jc w:val="left"/>
        <w:textAlignment w:val="baseline"/>
        <w:rPr>
          <w:rFonts w:hint="default" w:ascii="ＭＳ ゴシック" w:hAnsi="ＭＳ ゴシック" w:eastAsia="ＭＳ ゴシック"/>
          <w:kern w:val="0"/>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End w:id="1"/>
            <w:bookmarkStart w:id="2" w:name="_Hlk176367904"/>
            <w:r>
              <w:rPr>
                <w:rFonts w:hint="eastAsia" w:ascii="ＭＳ ゴシック" w:hAnsi="ＭＳ ゴシック" w:eastAsia="ＭＳ ゴシック"/>
              </w:rPr>
              <w:t>認定権者記載欄</w:t>
            </w:r>
            <w:bookmarkEnd w:id="2"/>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0" w:leftChars="0" w:right="420" w:rightChars="200" w:firstLine="0" w:firstLineChars="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　　（注４）申請者全体の値を記載。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5"/>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5"/>
        </w:numPr>
        <w:suppressAutoHyphens w:val="1"/>
        <w:ind w:leftChars="0" w:right="210" w:rightChars="10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r>
        <w:rPr>
          <w:rFonts w:hint="eastAsia" w:ascii="ＭＳ ゴシック" w:hAnsi="ＭＳ ゴシック" w:eastAsia="ＭＳ ゴシック"/>
          <w:color w:val="000000"/>
          <w:spacing w:val="16"/>
          <w:kern w:val="0"/>
        </w:rPr>
        <w:t>　</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砺波市長　夏野　修　　殿</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32"/>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32"/>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32"/>
              <w:numPr>
                <w:ilvl w:val="0"/>
                <w:numId w:val="6"/>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ind w:right="420" w:rightChars="20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　　（注３）Ｐ＞０となっていること。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7"/>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7"/>
        </w:numPr>
        <w:suppressAutoHyphens w:val="1"/>
        <w:spacing w:line="240" w:lineRule="exact"/>
        <w:ind w:leftChars="0"/>
        <w:jc w:val="left"/>
        <w:textAlignment w:val="baseline"/>
        <w:rPr>
          <w:rFonts w:hint="default" w:ascii="ＭＳ ゴシック" w:hAnsi="ＭＳ ゴシック" w:eastAsia="ＭＳ ゴシック"/>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p>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420" w:rightChars="200"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left="182" w:leftChars="0" w:right="420" w:rightChars="200" w:firstLine="0" w:firstLineChars="0"/>
              <w:jc w:val="righ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8"/>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8"/>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32"/>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p>
    <w:p>
      <w:pPr>
        <w:pStyle w:val="0"/>
        <w:suppressAutoHyphens w:val="1"/>
        <w:wordWrap w:val="0"/>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394"/>
        <w:jc w:val="left"/>
        <w:textAlignment w:val="baseline"/>
        <w:rPr>
          <w:rFonts w:hint="default" w:ascii="ＭＳ ゴシック" w:hAnsi="ＭＳ ゴシック" w:eastAsia="ＭＳ ゴシック"/>
          <w:color w:val="000000"/>
          <w:spacing w:val="16"/>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7350" w:firstLineChars="3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砺波市長　夏野　修　　殿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氏　名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630" w:rightChars="300"/>
              <w:jc w:val="righ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left="182" w:leftChars="0" w:right="630" w:rightChars="300"/>
              <w:jc w:val="right"/>
              <w:textAlignment w:val="baseline"/>
              <w:rPr>
                <w:rFonts w:hint="default" w:ascii="ＭＳ ゴシック" w:hAnsi="ＭＳ ゴシック" w:eastAsia="ＭＳ ゴシック"/>
                <w:color w:val="000000"/>
                <w:kern w:val="0"/>
                <w:u w:val="single" w:color="00000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9"/>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32"/>
        <w:numPr>
          <w:ilvl w:val="0"/>
          <w:numId w:val="9"/>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32"/>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p>
    <w:p>
      <w:pPr>
        <w:pStyle w:val="0"/>
        <w:suppressAutoHyphens w:val="1"/>
        <w:wordWrap w:val="0"/>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p>
    <w:p>
      <w:pPr>
        <w:pStyle w:val="0"/>
        <w:suppressAutoHyphens w:val="1"/>
        <w:kinsoku w:val="0"/>
        <w:autoSpaceDE w:val="0"/>
        <w:autoSpaceDN w:val="0"/>
        <w:spacing w:line="366" w:lineRule="atLeast"/>
        <w:ind w:right="1680"/>
        <w:rPr>
          <w:rFonts w:hint="default" w:ascii="ＭＳ ゴシック" w:hAnsi="ＭＳ ゴシック" w:eastAsia="ＭＳ ゴシック"/>
          <w:sz w:val="24"/>
        </w:rPr>
      </w:pPr>
    </w:p>
    <w:sectPr>
      <w:footerReference r:id="rId7" w:type="default"/>
      <w:pgSz w:w="11906" w:h="16838"/>
      <w:pgMar w:top="397" w:right="1134" w:bottom="233" w:left="1134" w:header="851" w:footer="5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p>
    <w:pPr>
      <w:pStyle w:val="20"/>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1">
    <w:nsid w:val="00000002"/>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nsid w:val="00000003"/>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nsid w:val="00000004"/>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4">
    <w:nsid w:val="00000005"/>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5">
    <w:nsid w:val="00000006"/>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6">
    <w:nsid w:val="00000007"/>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7">
    <w:nsid w:val="00000008"/>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8">
    <w:nsid w:val="00000009"/>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table" w:styleId="45">
    <w:name w:val="Table Grid"/>
    <w:basedOn w:val="11"/>
    <w:next w:val="4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10</Pages>
  <Words>21</Words>
  <Characters>7763</Characters>
  <Application>JUST Note</Application>
  <Lines>1968</Lines>
  <Paragraphs>334</Paragraphs>
  <Company>経済産業省</Company>
  <CharactersWithSpaces>12141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舘　優佳</cp:lastModifiedBy>
  <cp:lastPrinted>2024-04-24T02:11:00Z</cp:lastPrinted>
  <dcterms:created xsi:type="dcterms:W3CDTF">2024-06-13T01:29:00Z</dcterms:created>
  <dcterms:modified xsi:type="dcterms:W3CDTF">2024-12-17T08:46:30Z</dcterms:modified>
  <cp:revision>13</cp:revision>
</cp:coreProperties>
</file>