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砺波市電子入札運用基準</w:t>
      </w:r>
    </w:p>
    <w:p>
      <w:pPr>
        <w:pStyle w:val="0"/>
        <w:rPr>
          <w:rFonts w:hint="eastAsia" w:asciiTheme="minorEastAsia" w:hAnsiTheme="minorEastAsia" w:eastAsiaTheme="minorEastAsia"/>
          <w:sz w:val="22"/>
        </w:rPr>
      </w:pP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本運用基準は、砺波市が発注する建設工事、建設工事に関連する業務委託及び役務等の委託業務及び物品購入における、電子入札システムによる入札（以下「電子入札」という。）の運用について、必要な事項を定め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電子入札実施の基本方針</w:t>
      </w:r>
      <w:r>
        <w:rPr>
          <w:rFonts w:hint="eastAsia" w:asciiTheme="minorEastAsia" w:hAnsiTheme="minorEastAsia" w:eastAsiaTheme="minorEastAsia"/>
          <w:sz w:val="22"/>
        </w:rPr>
        <w:t xml:space="preserve"> </w:t>
      </w:r>
    </w:p>
    <w:p>
      <w:pPr>
        <w:pStyle w:val="0"/>
        <w:ind w:left="218" w:leftChars="1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砺波市が電子入札で行う旨を指定した案件は、電子入札システムで処理することとし、原則として、紙による設計図書配布等申請書や入札書の提出（以下「紙入札」という。）は認めないものとする。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紙入札承諾の基準</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紙入札申請の期限</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に参加しようとする者（以下「入札参加者」という。）であって、紙入札での参加を希望する者は、紙入札承諾願（別記様式）により入札書の締切日時までに入札執行者に紙入札の申請を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紙入札での参加を認める基準</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入札執行者は、前号に規定する紙入札申請があったときは、次の全てに該当する場合に限り、その紙入札での参加（紙入札への変更を含む。以下同じ。）を認めるものとする。</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ア　次のいずれかの理由により電子入札システム</w:t>
      </w:r>
      <w:r>
        <w:rPr>
          <w:rFonts w:hint="eastAsia" w:asciiTheme="minorEastAsia" w:hAnsiTheme="minorEastAsia" w:eastAsiaTheme="minorEastAsia"/>
          <w:color w:val="auto"/>
          <w:sz w:val="22"/>
        </w:rPr>
        <w:t>による入札書等の提出が</w:t>
      </w:r>
      <w:r>
        <w:rPr>
          <w:rFonts w:hint="eastAsia" w:asciiTheme="minorEastAsia" w:hAnsiTheme="minorEastAsia" w:eastAsiaTheme="minorEastAsia"/>
          <w:sz w:val="22"/>
        </w:rPr>
        <w:t>できない場合</w:t>
      </w:r>
      <w:r>
        <w:rPr>
          <w:rFonts w:hint="eastAsia" w:asciiTheme="minorEastAsia" w:hAnsiTheme="minorEastAsia" w:eastAsiaTheme="minorEastAsia"/>
          <w:sz w:val="22"/>
        </w:rPr>
        <w:t xml:space="preserve"> </w:t>
      </w:r>
    </w:p>
    <w:p>
      <w:pPr>
        <w:pStyle w:val="0"/>
        <w:ind w:left="882" w:leftChars="3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ア</w:t>
      </w:r>
      <w:r>
        <w:rPr>
          <w:rFonts w:hint="eastAsia" w:asciiTheme="minorEastAsia" w:hAnsiTheme="minorEastAsia" w:eastAsiaTheme="minorEastAsia"/>
          <w:sz w:val="22"/>
        </w:rPr>
        <w:t>)</w:t>
      </w:r>
      <w:r>
        <w:rPr>
          <w:rFonts w:hint="eastAsia" w:asciiTheme="minorEastAsia" w:hAnsiTheme="minorEastAsia" w:eastAsiaTheme="minorEastAsia"/>
          <w:sz w:val="22"/>
        </w:rPr>
        <w:t>　利用者登録後に、商号若しくは名称、所在地又は代表者の変更があった場合であって、砺波市に入札参加資格審査申請書変更届（以下「変更届」という。）を提出し、かつ、電子証明書（以下「ＩＣカード」という。）の再取得の申請を予定し、又は申請中のとき（パソコンの故障、ＩＣカードの失効・破損等、入札参加者の責めに帰すべき事由がある場合は、紙入札を認めない。）</w:t>
      </w:r>
    </w:p>
    <w:p>
      <w:pPr>
        <w:pStyle w:val="0"/>
        <w:ind w:firstLine="684" w:firstLineChars="3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イ</w:t>
      </w:r>
      <w:r>
        <w:rPr>
          <w:rFonts w:hint="eastAsia" w:asciiTheme="minorEastAsia" w:hAnsiTheme="minorEastAsia" w:eastAsiaTheme="minorEastAsia"/>
          <w:sz w:val="22"/>
        </w:rPr>
        <w:t>)</w:t>
      </w:r>
      <w:r>
        <w:rPr>
          <w:rFonts w:hint="eastAsia" w:asciiTheme="minorEastAsia" w:hAnsiTheme="minorEastAsia" w:eastAsiaTheme="minorEastAsia"/>
          <w:sz w:val="22"/>
        </w:rPr>
        <w:t>　システム障害のため</w:t>
      </w:r>
    </w:p>
    <w:p>
      <w:pPr>
        <w:pStyle w:val="0"/>
        <w:ind w:left="1110" w:leftChars="300" w:hanging="456" w:hangingChars="200"/>
        <w:rPr>
          <w:rFonts w:hint="eastAsia" w:asciiTheme="minorEastAsia" w:hAnsiTheme="minorEastAsia" w:eastAsiaTheme="minorEastAsia"/>
          <w:sz w:val="22"/>
          <w:highlight w:val="yellow"/>
        </w:rPr>
      </w:pPr>
      <w:r>
        <w:rPr>
          <w:rFonts w:hint="eastAsia" w:asciiTheme="minorEastAsia" w:hAnsiTheme="minorEastAsia" w:eastAsiaTheme="minorEastAsia"/>
          <w:sz w:val="22"/>
        </w:rPr>
        <w:t>(</w:t>
      </w:r>
      <w:r>
        <w:rPr>
          <w:rFonts w:hint="eastAsia" w:asciiTheme="minorEastAsia" w:hAnsiTheme="minorEastAsia" w:eastAsiaTheme="minorEastAsia"/>
          <w:sz w:val="22"/>
        </w:rPr>
        <w:t>ウ</w:t>
      </w:r>
      <w:r>
        <w:rPr>
          <w:rFonts w:hint="eastAsia" w:asciiTheme="minorEastAsia" w:hAnsiTheme="minorEastAsia" w:eastAsiaTheme="minorEastAsia"/>
          <w:sz w:val="22"/>
        </w:rPr>
        <w:t>)</w:t>
      </w:r>
      <w:r>
        <w:rPr>
          <w:rFonts w:hint="eastAsia" w:asciiTheme="minorEastAsia" w:hAnsiTheme="minorEastAsia" w:eastAsiaTheme="minorEastAsia"/>
          <w:sz w:val="22"/>
        </w:rPr>
        <w:t>　</w:t>
      </w:r>
      <w:r>
        <w:rPr>
          <w:rFonts w:hint="eastAsia" w:asciiTheme="minorEastAsia" w:hAnsiTheme="minorEastAsia" w:eastAsiaTheme="minorEastAsia"/>
          <w:sz w:val="22"/>
          <w:highlight w:val="none"/>
        </w:rPr>
        <w:t>令和５年４月１日から同年９月３０日までの入札公告又は指名通知に</w:t>
      </w:r>
    </w:p>
    <w:p>
      <w:pPr>
        <w:pStyle w:val="0"/>
        <w:ind w:left="1100" w:leftChars="400" w:hanging="228" w:hangingChars="100"/>
        <w:rPr>
          <w:rFonts w:hint="eastAsia" w:asciiTheme="minorEastAsia" w:hAnsiTheme="minorEastAsia" w:eastAsiaTheme="minorEastAsia"/>
          <w:sz w:val="22"/>
          <w:highlight w:val="yellow"/>
        </w:rPr>
      </w:pPr>
      <w:r>
        <w:rPr>
          <w:rFonts w:hint="eastAsia" w:asciiTheme="minorEastAsia" w:hAnsiTheme="minorEastAsia" w:eastAsiaTheme="minorEastAsia"/>
          <w:sz w:val="22"/>
          <w:highlight w:val="none"/>
        </w:rPr>
        <w:t>係る入札であること</w:t>
      </w:r>
    </w:p>
    <w:p>
      <w:pPr>
        <w:pStyle w:val="0"/>
        <w:ind w:firstLine="684" w:firstLineChars="300"/>
        <w:rPr>
          <w:rFonts w:hint="eastAsia" w:asciiTheme="minorEastAsia" w:hAnsiTheme="minorEastAsia" w:eastAsiaTheme="minorEastAsia"/>
          <w:sz w:val="22"/>
        </w:rPr>
      </w:pPr>
      <w:bookmarkStart w:id="0" w:name="_GoBack"/>
      <w:bookmarkEnd w:id="0"/>
      <w:r>
        <w:rPr>
          <w:rFonts w:hint="eastAsia" w:asciiTheme="minorEastAsia" w:hAnsiTheme="minorEastAsia" w:eastAsiaTheme="minorEastAsia"/>
          <w:sz w:val="22"/>
        </w:rPr>
        <w:t>(</w:t>
      </w:r>
      <w:r>
        <w:rPr>
          <w:rFonts w:hint="eastAsia" w:asciiTheme="minorEastAsia" w:hAnsiTheme="minorEastAsia" w:eastAsiaTheme="minorEastAsia"/>
          <w:sz w:val="22"/>
        </w:rPr>
        <w:t>エ</w:t>
      </w:r>
      <w:r>
        <w:rPr>
          <w:rFonts w:hint="eastAsia" w:asciiTheme="minorEastAsia" w:hAnsiTheme="minorEastAsia" w:eastAsiaTheme="minorEastAsia"/>
          <w:sz w:val="22"/>
        </w:rPr>
        <w:t>)</w:t>
      </w:r>
      <w:r>
        <w:rPr>
          <w:rFonts w:hint="eastAsia" w:asciiTheme="minorEastAsia" w:hAnsiTheme="minorEastAsia" w:eastAsiaTheme="minorEastAsia"/>
          <w:sz w:val="22"/>
        </w:rPr>
        <w:t>　その他やむを得ない理由があること</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イ　入札全体の手続に影響がないと認められる場合</w:t>
      </w:r>
      <w:r>
        <w:rPr>
          <w:rFonts w:hint="eastAsia" w:asciiTheme="minorEastAsia" w:hAnsiTheme="minorEastAsia" w:eastAsiaTheme="minorEastAsia"/>
          <w:sz w:val="22"/>
        </w:rPr>
        <w:t xml:space="preserve"> </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ウ　紙入札申請が前号の期限までになされた場合</w:t>
      </w:r>
      <w:r>
        <w:rPr>
          <w:rFonts w:hint="eastAsia" w:asciiTheme="minorEastAsia" w:hAnsiTheme="minorEastAsia" w:eastAsiaTheme="minorEastAsia"/>
          <w:sz w:val="22"/>
        </w:rPr>
        <w:t xml:space="preserve"> </w:t>
      </w:r>
    </w:p>
    <w:p>
      <w:pPr>
        <w:pStyle w:val="0"/>
        <w:ind w:left="0" w:leftChars="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紙入札に移行する場合の取扱い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前号の規定により、紙入札での参加を認めた場合は、その入札参加者について、紙入札により入札に参加する業者（以下「紙入札業者」という。）として取り扱うものとする。この場合において、既に実施済みの電子入札システムによる書類の送受信があるときは、別途の交付又は受領手続を要しないものとする。</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また、書類の提出期限は、電子入札システムによる当該書類の提出期限と同一とし、入札書及び入札価格積算内訳書を提出するときは、入札締切日時までに郵送又は持参するよう紙入札業者に指示するものとする。提出された入札書等は、入札執行者が開札まで厳重に保管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案件登録</w:t>
      </w: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各受付期間等の設定</w:t>
      </w:r>
    </w:p>
    <w:p>
      <w:pPr>
        <w:pStyle w:val="0"/>
        <w:ind w:firstLine="684" w:firstLineChars="300"/>
        <w:rPr>
          <w:rFonts w:hint="eastAsia" w:asciiTheme="minorEastAsia" w:hAnsiTheme="minorEastAsia" w:eastAsiaTheme="minorEastAsia"/>
          <w:sz w:val="22"/>
        </w:rPr>
      </w:pPr>
      <w:r>
        <w:rPr>
          <w:rFonts w:hint="eastAsia" w:asciiTheme="minorEastAsia" w:hAnsiTheme="minorEastAsia" w:eastAsiaTheme="minorEastAsia"/>
          <w:sz w:val="22"/>
        </w:rPr>
        <w:t>入札書の受付は、入札公告又は指名通知において示した日時から開始する。</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開札日時、内訳書開封日時は、入札書締切日時以後、事務処理に要する時間を勘案し、時間を決定をする。</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その他の期間等日時の設定にあたっては、各入札方式とも従来の紙入札における運用に準じて設定するものとする。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入札公告日又は指名通知日以降の案件の修正</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公告日又は指名通知日以降において、案件登録情報について錯誤が認められた場合には、以下の手順により速やかに案件の再登録を行うものとする。ただし、軽微な錯誤であって、全体の入札手続に重大な影響がないものについては、案件の訂正により対応することができる。</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①　錯誤案件に対して技術提案資料等や入札書の提出が行われるのを防ぐため、締切日時の変更を行う。（修正例：受付開始日時１３：００　同締切日時１３：０１）</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②　件名に追記入力した修正登録を行い、錯誤案件である旨を入札参加者に示す。（修正例：「本案件は、登録錯誤につき取り消し、同一案件名称により再登録する」）</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③　新規の案件として改めて登録する。</w:t>
      </w:r>
      <w:r>
        <w:rPr>
          <w:rFonts w:hint="eastAsia" w:asciiTheme="minorEastAsia" w:hAnsiTheme="minorEastAsia" w:eastAsiaTheme="minorEastAsia"/>
          <w:sz w:val="22"/>
        </w:rPr>
        <w:t xml:space="preserve"> </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④　既に技術提案資料等や入札書の提出があった入札参加者に対しては、確実に連絡のとれる方法で連絡を行い、改めて登録した案件に対して入札書等を送信するように依頼する。</w:t>
      </w:r>
    </w:p>
    <w:p>
      <w:pPr>
        <w:pStyle w:val="0"/>
        <w:ind w:left="0" w:leftChars="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紙入札への切替時の処理</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特段の事情により発注者が当該案件を電子入札から紙入札へ切替えるに至った場合には、当該案件名に「（紙入札に移行）」と追記変更し、以降当該案件にかかる電子入札システム処理を行わない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　添付書類の取扱い</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使用アプリケーション及びバージョンの指定</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入札手続において必要な添付書類は、原則として電子ファイルにより提出するものとする。</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添付書類の作成に使用するアプリケーションソフト及び保存するファイルの形式は、次に掲げるものとする。ただし、当該ファイルの保存時に損なわれる機能は、作成時に利用しないものとする。</w:t>
      </w:r>
    </w:p>
    <w:p>
      <w:pPr>
        <w:pStyle w:val="0"/>
        <w:ind w:leftChars="0" w:firstLineChars="0"/>
        <w:rPr>
          <w:rFonts w:hint="eastAsia" w:asciiTheme="minorEastAsia" w:hAnsiTheme="minorEastAsia" w:eastAsiaTheme="minorEastAsia"/>
          <w:sz w:val="22"/>
        </w:rPr>
      </w:pPr>
    </w:p>
    <w:tbl>
      <w:tblPr>
        <w:tblStyle w:val="17"/>
        <w:tblW w:w="0" w:type="auto"/>
        <w:tblInd w:w="0" w:type="dxa"/>
        <w:tblLayout w:type="fixed"/>
        <w:tblLook w:firstRow="1" w:lastRow="0" w:firstColumn="1" w:lastColumn="0" w:noHBand="0" w:noVBand="1" w:val="04A0"/>
      </w:tblPr>
      <w:tblGrid>
        <w:gridCol w:w="3250"/>
        <w:gridCol w:w="4991"/>
      </w:tblGrid>
      <w:tr>
        <w:trPr>
          <w:trHeight w:val="367" w:hRule="atLeast"/>
        </w:trPr>
        <w:tc>
          <w:tcPr>
            <w:tcW w:w="325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アプリケーション</w:t>
            </w:r>
          </w:p>
        </w:tc>
        <w:tc>
          <w:tcPr>
            <w:tcW w:w="4991"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ファイル形式</w:t>
            </w:r>
          </w:p>
        </w:tc>
      </w:tr>
      <w:tr>
        <w:trPr>
          <w:trHeight w:val="366" w:hRule="atLeast"/>
        </w:trPr>
        <w:tc>
          <w:tcPr>
            <w:tcW w:w="3250"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22"/>
              </w:rPr>
              <w:t>Microsoft Word</w:t>
            </w:r>
          </w:p>
        </w:tc>
        <w:tc>
          <w:tcPr>
            <w:tcW w:w="4991"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22"/>
              </w:rPr>
              <w:t>Word 2013</w:t>
            </w:r>
            <w:r>
              <w:rPr>
                <w:rFonts w:hint="eastAsia" w:asciiTheme="minorEastAsia" w:hAnsiTheme="minorEastAsia" w:eastAsiaTheme="minorEastAsia"/>
                <w:sz w:val="22"/>
              </w:rPr>
              <w:t>以降形式</w:t>
            </w:r>
            <w:r>
              <w:rPr>
                <w:rFonts w:hint="eastAsia" w:asciiTheme="minorEastAsia" w:hAnsiTheme="minorEastAsia" w:eastAsiaTheme="minorEastAsia"/>
                <w:sz w:val="22"/>
              </w:rPr>
              <w:t>(.docx)</w:t>
            </w:r>
          </w:p>
        </w:tc>
      </w:tr>
      <w:tr>
        <w:trPr>
          <w:trHeight w:val="367" w:hRule="atLeast"/>
        </w:trPr>
        <w:tc>
          <w:tcPr>
            <w:tcW w:w="3250"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22"/>
              </w:rPr>
              <w:t>Microsoft Excel</w:t>
            </w:r>
          </w:p>
        </w:tc>
        <w:tc>
          <w:tcPr>
            <w:tcW w:w="4991"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22"/>
              </w:rPr>
              <w:t>Excel 2013</w:t>
            </w:r>
            <w:r>
              <w:rPr>
                <w:rFonts w:hint="eastAsia" w:asciiTheme="minorEastAsia" w:hAnsiTheme="minorEastAsia" w:eastAsiaTheme="minorEastAsia"/>
                <w:sz w:val="22"/>
              </w:rPr>
              <w:t>以降形式</w:t>
            </w:r>
            <w:r>
              <w:rPr>
                <w:rFonts w:hint="eastAsia" w:asciiTheme="minorEastAsia" w:hAnsiTheme="minorEastAsia" w:eastAsiaTheme="minorEastAsia"/>
                <w:sz w:val="22"/>
              </w:rPr>
              <w:t>(.xlsx)</w:t>
            </w:r>
          </w:p>
        </w:tc>
      </w:tr>
      <w:tr>
        <w:trPr>
          <w:trHeight w:val="1099" w:hRule="atLeast"/>
        </w:trPr>
        <w:tc>
          <w:tcPr>
            <w:tcW w:w="3250" w:type="dxa"/>
            <w:vAlign w:val="top"/>
          </w:tcPr>
          <w:p>
            <w:pPr>
              <w:pStyle w:val="0"/>
              <w:rPr>
                <w:rFonts w:hint="eastAsia" w:asciiTheme="minorEastAsia" w:hAnsiTheme="minorEastAsia" w:eastAsiaTheme="minorEastAsia"/>
              </w:rPr>
            </w:pPr>
            <w:r>
              <w:rPr>
                <w:rFonts w:hint="eastAsia" w:asciiTheme="minorEastAsia" w:hAnsiTheme="minorEastAsia" w:eastAsiaTheme="minorEastAsia"/>
                <w:sz w:val="22"/>
              </w:rPr>
              <w:t>その他のアプリケーション</w:t>
            </w:r>
          </w:p>
        </w:tc>
        <w:tc>
          <w:tcPr>
            <w:tcW w:w="4991"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PDF</w:t>
            </w:r>
            <w:r>
              <w:rPr>
                <w:rFonts w:hint="eastAsia" w:asciiTheme="minorEastAsia" w:hAnsiTheme="minorEastAsia" w:eastAsiaTheme="minorEastAsia"/>
                <w:sz w:val="22"/>
              </w:rPr>
              <w:t>形式</w:t>
            </w:r>
            <w:r>
              <w:rPr>
                <w:rFonts w:hint="eastAsia" w:asciiTheme="minorEastAsia" w:hAnsiTheme="minorEastAsia" w:eastAsiaTheme="minorEastAsia"/>
                <w:sz w:val="22"/>
              </w:rPr>
              <w:t>(Acrobat5</w:t>
            </w:r>
            <w:r>
              <w:rPr>
                <w:rFonts w:hint="eastAsia" w:asciiTheme="minorEastAsia" w:hAnsiTheme="minorEastAsia" w:eastAsiaTheme="minorEastAsia"/>
                <w:sz w:val="22"/>
              </w:rPr>
              <w:t>以降</w:t>
            </w:r>
            <w:r>
              <w:rPr>
                <w:rFonts w:hint="eastAsia" w:asciiTheme="minorEastAsia" w:hAnsiTheme="minorEastAsia" w:eastAsiaTheme="minorEastAsia"/>
                <w:sz w:val="22"/>
              </w:rPr>
              <w:t>)(.pdf)</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画像ファイル</w:t>
            </w:r>
            <w:r>
              <w:rPr>
                <w:rFonts w:hint="eastAsia" w:asciiTheme="minorEastAsia" w:hAnsiTheme="minorEastAsia" w:eastAsiaTheme="minorEastAsia"/>
                <w:sz w:val="22"/>
              </w:rPr>
              <w:t>(.jpg</w:t>
            </w:r>
            <w:r>
              <w:rPr>
                <w:rFonts w:hint="eastAsia" w:asciiTheme="minorEastAsia" w:hAnsiTheme="minorEastAsia" w:eastAsiaTheme="minorEastAsia"/>
                <w:sz w:val="22"/>
              </w:rPr>
              <w:t>、</w:t>
            </w:r>
            <w:r>
              <w:rPr>
                <w:rFonts w:hint="eastAsia" w:asciiTheme="minorEastAsia" w:hAnsiTheme="minorEastAsia" w:eastAsiaTheme="minorEastAsia"/>
                <w:sz w:val="22"/>
              </w:rPr>
              <w:t>.gif)</w:t>
            </w:r>
          </w:p>
          <w:p>
            <w:pPr>
              <w:pStyle w:val="0"/>
              <w:rPr>
                <w:rFonts w:hint="eastAsia" w:asciiTheme="minorEastAsia" w:hAnsiTheme="minorEastAsia" w:eastAsiaTheme="minorEastAsia"/>
              </w:rPr>
            </w:pPr>
            <w:r>
              <w:rPr>
                <w:rFonts w:hint="eastAsia" w:asciiTheme="minorEastAsia" w:hAnsiTheme="minorEastAsia" w:eastAsiaTheme="minorEastAsia"/>
                <w:sz w:val="22"/>
              </w:rPr>
              <w:t>その他公告等により特に認めたファイル形式</w:t>
            </w:r>
          </w:p>
        </w:tc>
      </w:tr>
    </w:tbl>
    <w:p>
      <w:pPr>
        <w:pStyle w:val="0"/>
        <w:ind w:left="436" w:leftChars="200" w:firstLine="228" w:firstLineChars="100"/>
        <w:rPr>
          <w:rFonts w:hint="eastAsia" w:asciiTheme="minorEastAsia" w:hAnsiTheme="minorEastAsia" w:eastAsiaTheme="minorEastAsia"/>
          <w:sz w:val="22"/>
        </w:rPr>
      </w:pPr>
    </w:p>
    <w:p>
      <w:pPr>
        <w:pStyle w:val="0"/>
        <w:ind w:left="0" w:leftChars="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圧縮方法の指定</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圧縮ファイルを利用する場合における圧縮形式は、ＺＩＰ形式に限るものとする。この場合において、パスワード付きの形式及び自己解凍方式は、使用しないものとする。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持参又は郵送を認める基準</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添付書類の容量が次に示す容量を超える場合には、原則として持参又は郵送による提出を求めるものとする。また、案件の特性等により、全ての電子入札による入札参加者に対して持参又は郵送による提出を求めることができる。</w:t>
      </w:r>
    </w:p>
    <w:tbl>
      <w:tblPr>
        <w:tblStyle w:val="17"/>
        <w:tblW w:w="0" w:type="auto"/>
        <w:tblInd w:w="0" w:type="dxa"/>
        <w:tblLayout w:type="fixed"/>
        <w:tblLook w:firstRow="1" w:lastRow="0" w:firstColumn="1" w:lastColumn="0" w:noHBand="0" w:noVBand="1" w:val="04A0"/>
      </w:tblPr>
      <w:tblGrid>
        <w:gridCol w:w="2599"/>
        <w:gridCol w:w="4557"/>
        <w:gridCol w:w="1346"/>
      </w:tblGrid>
      <w:tr>
        <w:trPr/>
        <w:tc>
          <w:tcPr>
            <w:tcW w:w="2599" w:type="dxa"/>
            <w:vAlign w:val="center"/>
          </w:tcPr>
          <w:p>
            <w:pPr>
              <w:pStyle w:val="0"/>
              <w:jc w:val="center"/>
              <w:rPr>
                <w:rFonts w:hint="eastAsia"/>
              </w:rPr>
            </w:pPr>
            <w:r>
              <w:rPr>
                <w:rFonts w:hint="eastAsia" w:asciiTheme="minorEastAsia" w:hAnsiTheme="minorEastAsia" w:eastAsiaTheme="minorEastAsia"/>
                <w:sz w:val="22"/>
              </w:rPr>
              <w:t>提出書類</w:t>
            </w:r>
          </w:p>
        </w:tc>
        <w:tc>
          <w:tcPr>
            <w:tcW w:w="4557" w:type="dxa"/>
            <w:vAlign w:val="center"/>
          </w:tcPr>
          <w:p>
            <w:pPr>
              <w:pStyle w:val="0"/>
              <w:jc w:val="center"/>
              <w:rPr>
                <w:rFonts w:hint="eastAsia"/>
              </w:rPr>
            </w:pPr>
            <w:r>
              <w:rPr>
                <w:rFonts w:hint="eastAsia" w:asciiTheme="minorEastAsia" w:hAnsiTheme="minorEastAsia" w:eastAsiaTheme="minorEastAsia"/>
                <w:sz w:val="22"/>
              </w:rPr>
              <w:t>添付書類の内容</w:t>
            </w:r>
          </w:p>
        </w:tc>
        <w:tc>
          <w:tcPr>
            <w:tcW w:w="1346" w:type="dxa"/>
            <w:vAlign w:val="center"/>
          </w:tcPr>
          <w:p>
            <w:pPr>
              <w:pStyle w:val="0"/>
              <w:jc w:val="center"/>
              <w:rPr>
                <w:rFonts w:hint="eastAsia"/>
              </w:rPr>
            </w:pPr>
            <w:r>
              <w:rPr>
                <w:rFonts w:hint="eastAsia" w:asciiTheme="minorEastAsia" w:hAnsiTheme="minorEastAsia" w:eastAsiaTheme="minorEastAsia"/>
                <w:sz w:val="22"/>
              </w:rPr>
              <w:t>添付可能な容量</w:t>
            </w:r>
          </w:p>
        </w:tc>
      </w:tr>
      <w:tr>
        <w:trPr/>
        <w:tc>
          <w:tcPr>
            <w:tcW w:w="2599" w:type="dxa"/>
            <w:vAlign w:val="top"/>
          </w:tcPr>
          <w:p>
            <w:pPr>
              <w:pStyle w:val="0"/>
              <w:rPr>
                <w:rFonts w:hint="eastAsia"/>
                <w:sz w:val="22"/>
              </w:rPr>
            </w:pPr>
            <w:r>
              <w:rPr>
                <w:rFonts w:hint="eastAsia"/>
                <w:sz w:val="22"/>
              </w:rPr>
              <w:t>競争参加資格確認申請</w:t>
            </w:r>
          </w:p>
          <w:p>
            <w:pPr>
              <w:pStyle w:val="0"/>
              <w:rPr>
                <w:rFonts w:hint="eastAsia"/>
                <w:sz w:val="22"/>
              </w:rPr>
            </w:pPr>
            <w:r>
              <w:rPr>
                <w:rFonts w:hint="eastAsia"/>
                <w:sz w:val="22"/>
              </w:rPr>
              <w:t>書</w:t>
            </w:r>
          </w:p>
        </w:tc>
        <w:tc>
          <w:tcPr>
            <w:tcW w:w="4557" w:type="dxa"/>
            <w:vAlign w:val="top"/>
          </w:tcPr>
          <w:p>
            <w:pPr>
              <w:pStyle w:val="0"/>
              <w:rPr>
                <w:rFonts w:hint="eastAsia"/>
              </w:rPr>
            </w:pPr>
            <w:r>
              <w:rPr>
                <w:rFonts w:hint="eastAsia" w:asciiTheme="minorEastAsia" w:hAnsiTheme="minorEastAsia" w:eastAsiaTheme="minorEastAsia"/>
                <w:sz w:val="22"/>
              </w:rPr>
              <w:t>配置予定技術者調書、総合評価技術資料、経営規模等評価結果通知書の写しなど</w:t>
            </w:r>
          </w:p>
        </w:tc>
        <w:tc>
          <w:tcPr>
            <w:tcW w:w="1346" w:type="dxa"/>
            <w:vAlign w:val="center"/>
          </w:tcPr>
          <w:p>
            <w:pPr>
              <w:pStyle w:val="0"/>
              <w:jc w:val="center"/>
              <w:rPr>
                <w:rFonts w:hint="eastAsia"/>
              </w:rPr>
            </w:pPr>
            <w:r>
              <w:rPr>
                <w:rFonts w:hint="eastAsia" w:asciiTheme="minorEastAsia" w:hAnsiTheme="minorEastAsia" w:eastAsiaTheme="minorEastAsia"/>
                <w:sz w:val="22"/>
              </w:rPr>
              <w:t>10MB</w:t>
            </w:r>
          </w:p>
        </w:tc>
      </w:tr>
      <w:tr>
        <w:trPr/>
        <w:tc>
          <w:tcPr>
            <w:tcW w:w="2599" w:type="dxa"/>
            <w:vAlign w:val="top"/>
          </w:tcPr>
          <w:p>
            <w:pPr>
              <w:pStyle w:val="0"/>
              <w:rPr>
                <w:rFonts w:hint="eastAsia"/>
                <w:sz w:val="22"/>
              </w:rPr>
            </w:pPr>
            <w:r>
              <w:rPr>
                <w:rFonts w:hint="eastAsia" w:asciiTheme="minorEastAsia" w:hAnsiTheme="minorEastAsia" w:eastAsiaTheme="minorEastAsia"/>
                <w:sz w:val="24"/>
              </w:rPr>
              <w:t>入札書</w:t>
            </w:r>
          </w:p>
        </w:tc>
        <w:tc>
          <w:tcPr>
            <w:tcW w:w="4557" w:type="dxa"/>
            <w:vAlign w:val="top"/>
          </w:tcPr>
          <w:p>
            <w:pPr>
              <w:pStyle w:val="0"/>
              <w:rPr>
                <w:rFonts w:hint="eastAsia"/>
              </w:rPr>
            </w:pPr>
            <w:r>
              <w:rPr>
                <w:rFonts w:hint="eastAsia" w:asciiTheme="minorEastAsia" w:hAnsiTheme="minorEastAsia" w:eastAsiaTheme="minorEastAsia"/>
                <w:sz w:val="22"/>
              </w:rPr>
              <w:t>入札価格積算内訳書</w:t>
            </w:r>
            <w:r>
              <w:rPr>
                <w:rFonts w:hint="eastAsia" w:asciiTheme="minorEastAsia" w:hAnsiTheme="minorEastAsia" w:eastAsiaTheme="minorEastAsia"/>
                <w:sz w:val="22"/>
              </w:rPr>
              <w:t xml:space="preserve"> </w:t>
            </w:r>
          </w:p>
        </w:tc>
        <w:tc>
          <w:tcPr>
            <w:tcW w:w="1346" w:type="dxa"/>
            <w:vAlign w:val="center"/>
          </w:tcPr>
          <w:p>
            <w:pPr>
              <w:pStyle w:val="0"/>
              <w:jc w:val="center"/>
              <w:rPr>
                <w:rFonts w:hint="eastAsia"/>
              </w:rPr>
            </w:pPr>
            <w:r>
              <w:rPr>
                <w:rFonts w:hint="eastAsia" w:asciiTheme="minorEastAsia" w:hAnsiTheme="minorEastAsia" w:eastAsiaTheme="minorEastAsia"/>
                <w:sz w:val="22"/>
              </w:rPr>
              <w:t>3MB</w:t>
            </w:r>
          </w:p>
        </w:tc>
      </w:tr>
      <w:tr>
        <w:trPr/>
        <w:tc>
          <w:tcPr>
            <w:tcW w:w="2599" w:type="dxa"/>
            <w:vAlign w:val="top"/>
          </w:tcPr>
          <w:p>
            <w:pPr>
              <w:pStyle w:val="0"/>
              <w:rPr>
                <w:rFonts w:hint="eastAsia"/>
                <w:sz w:val="22"/>
              </w:rPr>
            </w:pPr>
            <w:r>
              <w:rPr>
                <w:rFonts w:hint="eastAsia"/>
                <w:sz w:val="22"/>
              </w:rPr>
              <w:t>事後審査資料</w:t>
            </w:r>
          </w:p>
        </w:tc>
        <w:tc>
          <w:tcPr>
            <w:tcW w:w="4557" w:type="dxa"/>
            <w:vAlign w:val="top"/>
          </w:tcPr>
          <w:p>
            <w:pPr>
              <w:pStyle w:val="0"/>
              <w:rPr>
                <w:rFonts w:hint="eastAsia"/>
                <w:sz w:val="22"/>
              </w:rPr>
            </w:pPr>
            <w:r>
              <w:rPr>
                <w:rFonts w:hint="eastAsia"/>
                <w:sz w:val="22"/>
              </w:rPr>
              <w:t>現場代理人及び配置技術者等選任届、現場代理人経歴書、配置技術者経歴書など</w:t>
            </w:r>
            <w:r>
              <w:rPr>
                <w:rFonts w:hint="eastAsia"/>
                <w:sz w:val="22"/>
              </w:rPr>
              <w:t xml:space="preserve"> </w:t>
            </w:r>
          </w:p>
        </w:tc>
        <w:tc>
          <w:tcPr>
            <w:tcW w:w="1346" w:type="dxa"/>
            <w:vAlign w:val="center"/>
          </w:tcPr>
          <w:p>
            <w:pPr>
              <w:pStyle w:val="0"/>
              <w:jc w:val="center"/>
              <w:rPr>
                <w:rFonts w:hint="eastAsia"/>
                <w:sz w:val="22"/>
              </w:rPr>
            </w:pPr>
            <w:r>
              <w:rPr>
                <w:rFonts w:hint="eastAsia" w:asciiTheme="minorEastAsia" w:hAnsiTheme="minorEastAsia" w:eastAsiaTheme="minorEastAsia"/>
                <w:sz w:val="24"/>
              </w:rPr>
              <w:t>10MB</w:t>
            </w:r>
          </w:p>
        </w:tc>
      </w:tr>
    </w:tbl>
    <w:p>
      <w:pPr>
        <w:pStyle w:val="0"/>
        <w:ind w:leftChars="0" w:firstLineChars="0"/>
        <w:rPr>
          <w:rFonts w:hint="eastAsia" w:asciiTheme="minorEastAsia" w:hAnsiTheme="minorEastAsia" w:eastAsiaTheme="minorEastAsia"/>
          <w:sz w:val="22"/>
        </w:rPr>
      </w:pP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持参又は郵送の方法及び提出期限</w:t>
      </w:r>
      <w:r>
        <w:rPr>
          <w:rFonts w:hint="eastAsia" w:asciiTheme="minorEastAsia" w:hAnsiTheme="minorEastAsia" w:eastAsiaTheme="minorEastAsia"/>
          <w:sz w:val="22"/>
        </w:rPr>
        <w:t xml:space="preserve"> </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・持参又は郵送での提出を認める場合には、必要書類一式を持参又は郵送するものとし、原則として電子入札システムでの提出との分割は認めない。</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・持参又は郵送の場合における提出期限は、電子入札システムによる当該提出書類の提出期限と同一とし、当該提出期限までに財政課に到着していなければならない。</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郵送による提出を認める場合は、郵便書留等の配達の記録が残るものを必ず利用するものとし、封筒に①入札者の住所、商号又は名称、入札日、入札番号、件名、②「関係書類在中（入札書の場合は入札書在中）」（朱書き）を記載④入札参加資格審査申請における届出印で封印するものとする。発注者は、開札まで厳重に保管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５</w:t>
      </w:r>
      <w:r>
        <w:rPr>
          <w:rFonts w:hint="eastAsia" w:asciiTheme="minorEastAsia" w:hAnsiTheme="minorEastAsia" w:eastAsiaTheme="minorEastAsia"/>
          <w:sz w:val="22"/>
        </w:rPr>
        <w:t>)</w:t>
      </w:r>
      <w:r>
        <w:rPr>
          <w:rFonts w:hint="eastAsia" w:asciiTheme="minorEastAsia" w:hAnsiTheme="minorEastAsia" w:eastAsiaTheme="minorEastAsia"/>
          <w:sz w:val="22"/>
        </w:rPr>
        <w:t>　ウイルス感染ファイルの取扱い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発注者は入札参加者から提出された添付書類がウイルスに感染していることが判明した場合、直ちに作業を中止し、ウイルス感染している旨を当該入札参加者に電話等で連絡し、再提出の方法について協議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６</w:t>
      </w:r>
      <w:r>
        <w:rPr>
          <w:rFonts w:hint="eastAsia" w:asciiTheme="minorEastAsia" w:hAnsiTheme="minorEastAsia" w:eastAsiaTheme="minorEastAsia"/>
          <w:sz w:val="22"/>
        </w:rPr>
        <w:t>)</w:t>
      </w:r>
      <w:r>
        <w:rPr>
          <w:rFonts w:hint="eastAsia" w:asciiTheme="minorEastAsia" w:hAnsiTheme="minorEastAsia" w:eastAsiaTheme="minorEastAsia"/>
          <w:sz w:val="22"/>
        </w:rPr>
        <w:t>　添付書類の無害化</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発注者は、入札参加者から提出された添付書類に対し無害化処理を行い、「</w:t>
      </w:r>
      <w:r>
        <w:rPr>
          <w:rFonts w:hint="eastAsia" w:asciiTheme="minorEastAsia" w:hAnsiTheme="minorEastAsia" w:eastAsiaTheme="minorEastAsia"/>
          <w:sz w:val="22"/>
        </w:rPr>
        <w:t>Microsoft Excel</w:t>
      </w:r>
      <w:r>
        <w:rPr>
          <w:rFonts w:hint="eastAsia" w:asciiTheme="minorEastAsia" w:hAnsiTheme="minorEastAsia" w:eastAsiaTheme="minorEastAsia"/>
          <w:sz w:val="22"/>
        </w:rPr>
        <w:t>」や「</w:t>
      </w:r>
      <w:r>
        <w:rPr>
          <w:rFonts w:hint="eastAsia" w:asciiTheme="minorEastAsia" w:hAnsiTheme="minorEastAsia" w:eastAsiaTheme="minorEastAsia"/>
          <w:sz w:val="22"/>
        </w:rPr>
        <w:t>Microsoft Word</w:t>
      </w:r>
      <w:r>
        <w:rPr>
          <w:rFonts w:hint="eastAsia" w:asciiTheme="minorEastAsia" w:hAnsiTheme="minorEastAsia" w:eastAsiaTheme="minorEastAsia"/>
          <w:sz w:val="22"/>
        </w:rPr>
        <w:t>」のマクロ等の除外を行う。マクロ等を除外することで、正しく表示されない可能性のある添付書類やパスワード付</w:t>
      </w:r>
      <w:r>
        <w:rPr>
          <w:rFonts w:hint="eastAsia" w:asciiTheme="minorEastAsia" w:hAnsiTheme="minorEastAsia" w:eastAsiaTheme="minorEastAsia"/>
          <w:sz w:val="22"/>
        </w:rPr>
        <w:t>ZIP</w:t>
      </w:r>
      <w:r>
        <w:rPr>
          <w:rFonts w:hint="eastAsia" w:asciiTheme="minorEastAsia" w:hAnsiTheme="minorEastAsia" w:eastAsiaTheme="minorEastAsia"/>
          <w:sz w:val="22"/>
        </w:rPr>
        <w:t>ファイルを添付した場合は、無効（失格）とすることができる。「</w:t>
      </w:r>
      <w:r>
        <w:rPr>
          <w:rFonts w:hint="eastAsia" w:asciiTheme="minorEastAsia" w:hAnsiTheme="minorEastAsia" w:eastAsiaTheme="minorEastAsia"/>
          <w:sz w:val="22"/>
        </w:rPr>
        <w:t>Microsoft Excel</w:t>
      </w:r>
      <w:r>
        <w:rPr>
          <w:rFonts w:hint="eastAsia" w:asciiTheme="minorEastAsia" w:hAnsiTheme="minorEastAsia" w:eastAsiaTheme="minorEastAsia"/>
          <w:sz w:val="22"/>
        </w:rPr>
        <w:t>」の関数による計算式は利用可能とする。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７</w:t>
      </w:r>
      <w:r>
        <w:rPr>
          <w:rFonts w:hint="eastAsia" w:asciiTheme="minorEastAsia" w:hAnsiTheme="minorEastAsia" w:eastAsiaTheme="minorEastAsia"/>
          <w:sz w:val="22"/>
        </w:rPr>
        <w:t>)</w:t>
      </w:r>
      <w:r>
        <w:rPr>
          <w:rFonts w:hint="eastAsia" w:asciiTheme="minorEastAsia" w:hAnsiTheme="minorEastAsia" w:eastAsiaTheme="minorEastAsia"/>
          <w:sz w:val="22"/>
        </w:rPr>
        <w:t>　積算内訳書の事前確認</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の場合においては、入札書締切日時後に入札価格積算内訳書を確認することができるものとする。事前に印刷出力した入札価格積算内訳書は、内容が対外的に漏洩することがないよう、開札時間まで善良なる管理者の注意をもって保管する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５　開札</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紙入札の取扱い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において紙入札業者がいる場合には、当該入札の開札の最初に紙入札業者の入札書を開封し、当該入札書に記載された入札金額及びくじ番号を電子入札システムに登録した後に電子入札による入札を開札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落札者決定通知書の送付</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入札執行者は、落札者を決定したときは、電子入札システムによる全ての入札参加者に対して落札者決定通知書により通知するものとする。</w:t>
      </w: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再入札の受付期間の設定基準</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再入札は</w:t>
      </w:r>
      <w:r>
        <w:rPr>
          <w:rFonts w:hint="eastAsia" w:asciiTheme="minorEastAsia" w:hAnsiTheme="minorEastAsia" w:eastAsiaTheme="minorEastAsia"/>
          <w:sz w:val="22"/>
        </w:rPr>
        <w:t>1</w:t>
      </w:r>
      <w:r>
        <w:rPr>
          <w:rFonts w:hint="eastAsia" w:asciiTheme="minorEastAsia" w:hAnsiTheme="minorEastAsia" w:eastAsiaTheme="minorEastAsia"/>
          <w:sz w:val="22"/>
        </w:rPr>
        <w:t>回とし、原則として</w:t>
      </w:r>
      <w:r>
        <w:rPr>
          <w:rFonts w:hint="eastAsia" w:asciiTheme="minorEastAsia" w:hAnsiTheme="minorEastAsia" w:eastAsiaTheme="minorEastAsia"/>
          <w:sz w:val="22"/>
          <w:highlight w:val="none"/>
        </w:rPr>
        <w:t>初回開札日の翌開庁日</w:t>
      </w:r>
      <w:r>
        <w:rPr>
          <w:rFonts w:hint="eastAsia" w:asciiTheme="minorEastAsia" w:hAnsiTheme="minorEastAsia" w:eastAsiaTheme="minorEastAsia"/>
          <w:sz w:val="22"/>
        </w:rPr>
        <w:t>に執行することとする。なお、再入札に参加できる者は、初回の入札に参加したものとする。ただし、初回の入札において、入札が無効とされた者又は調査基準価格を設けた場合における失格基準価格未満の入札を行った者を除く。</w:t>
      </w:r>
    </w:p>
    <w:p>
      <w:pPr>
        <w:pStyle w:val="0"/>
        <w:ind w:firstLine="684" w:firstLineChars="300"/>
        <w:rPr>
          <w:rFonts w:hint="eastAsia" w:asciiTheme="minorEastAsia" w:hAnsiTheme="minorEastAsia" w:eastAsiaTheme="minorEastAsia"/>
          <w:sz w:val="22"/>
        </w:rPr>
      </w:pPr>
      <w:r>
        <w:rPr>
          <w:rFonts w:hint="eastAsia" w:asciiTheme="minorEastAsia" w:hAnsiTheme="minorEastAsia" w:eastAsiaTheme="minorEastAsia"/>
          <w:sz w:val="22"/>
        </w:rPr>
        <w:t>再入札の方法は、初回の入札に準じて行うものとする。</w:t>
      </w: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開札が長引いた場合の入札参加者への連絡</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開札予定時間から落札者決定通知書の発行まで、著しく遅延する場合には、必要に応じ、入札参加者に電子入札システム等により状況の情報提供を行うものとする。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５</w:t>
      </w:r>
      <w:r>
        <w:rPr>
          <w:rFonts w:hint="eastAsia" w:asciiTheme="minorEastAsia" w:hAnsiTheme="minorEastAsia" w:eastAsiaTheme="minorEastAsia"/>
          <w:sz w:val="22"/>
        </w:rPr>
        <w:t>)</w:t>
      </w:r>
      <w:r>
        <w:rPr>
          <w:rFonts w:hint="eastAsia" w:asciiTheme="minorEastAsia" w:hAnsiTheme="minorEastAsia" w:eastAsiaTheme="minorEastAsia"/>
          <w:sz w:val="22"/>
        </w:rPr>
        <w:t>　入札書提出後の撤回等</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システムによる入札書又は辞退届は、その提出後において、撤回、差替え等はできないものとする。また、電子入札システムにより入札書を提出後、入札参加者の参加資格が喪失したと認められる場合（指名停止処分となった場合、会社が倒産した場合等）は、当該入札書は無効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６</w:t>
      </w:r>
      <w:r>
        <w:rPr>
          <w:rFonts w:hint="eastAsia" w:asciiTheme="minorEastAsia" w:hAnsiTheme="minorEastAsia" w:eastAsiaTheme="minorEastAsia"/>
          <w:sz w:val="22"/>
        </w:rPr>
        <w:t>)</w:t>
      </w:r>
      <w:r>
        <w:rPr>
          <w:rFonts w:hint="eastAsia" w:asciiTheme="minorEastAsia" w:hAnsiTheme="minorEastAsia" w:eastAsiaTheme="minorEastAsia"/>
          <w:sz w:val="22"/>
        </w:rPr>
        <w:t>　くじになった場合の取扱い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執行者は、落札となるべき同価格の入札をした者が２者以上あり、くじにより落札者又は落札候補者の審査順位の決定を行うこととなった場合には、電子入札システムにより、電子くじを実施後、落札者決定通知書を発行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７</w:t>
      </w:r>
      <w:r>
        <w:rPr>
          <w:rFonts w:hint="eastAsia" w:asciiTheme="minorEastAsia" w:hAnsiTheme="minorEastAsia" w:eastAsiaTheme="minorEastAsia"/>
          <w:sz w:val="22"/>
        </w:rPr>
        <w:t>)</w:t>
      </w:r>
      <w:r>
        <w:rPr>
          <w:rFonts w:hint="eastAsia" w:asciiTheme="minorEastAsia" w:hAnsiTheme="minorEastAsia" w:eastAsiaTheme="minorEastAsia"/>
          <w:sz w:val="22"/>
        </w:rPr>
        <w:t>　低入札調査になった場合の取扱い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執行者は、低入札調査基準価格を設定した入札において、最低価格入札者のした入札が当該低入札調査基準価格を下回る場合には、必要に応じて保留通知書にて通知を行い、落札者の決定後、落札者決定通知書を発行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８</w:t>
      </w:r>
      <w:r>
        <w:rPr>
          <w:rFonts w:hint="eastAsia" w:asciiTheme="minorEastAsia" w:hAnsiTheme="minorEastAsia" w:eastAsiaTheme="minorEastAsia"/>
          <w:sz w:val="22"/>
        </w:rPr>
        <w:t>)</w:t>
      </w:r>
      <w:r>
        <w:rPr>
          <w:rFonts w:hint="eastAsia" w:asciiTheme="minorEastAsia" w:hAnsiTheme="minorEastAsia" w:eastAsiaTheme="minorEastAsia"/>
          <w:sz w:val="22"/>
        </w:rPr>
        <w:t>　入札参加者側の障害による開札時間等の変更</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参加者側の障害により電子入札ができない旨の申告があった場合は、障害の内容と復旧の可否について調査確認を行うものとする。調査確認の結果、原則として複数の入札参加者が次のア～エに掲げる障害により入札に参加できず、かつ、復旧が入札書受付締切時間に間に合わないと判断されるときは、入札書受付締切時間及び開札予定時間の変更（延長）を行うことができるものとする（なお、電子入札から紙入札への変更を認める基準については、２参照）。</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ア　天災</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イ　広域・地域的停電</w:t>
      </w:r>
      <w:r>
        <w:rPr>
          <w:rFonts w:hint="eastAsia" w:asciiTheme="minorEastAsia" w:hAnsiTheme="minorEastAsia" w:eastAsiaTheme="minorEastAsia"/>
          <w:sz w:val="22"/>
        </w:rPr>
        <w:t xml:space="preserve"> </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ウ　プロバイダ、通信事業者に起因する通信障害</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エ　その他時間延長が妥当であると認められる障害（ＩＣカードの紛失又は破損、端末の不具合その他の入札参加者の責による障害を除く。）</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変更後の開札予定時間を直ちに決定できない場合においては、仮の日時を入力した日時変更通知書を送信し、又は電話等により連絡するものとする。変更通知書の記事入力欄には、開札日時正式決定後に再度変更通知書が送信される旨の記載を行い、正式な開札日時が決定した場合には、再度変更通知書を送信し、又は電話等により連絡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９</w:t>
      </w:r>
      <w:r>
        <w:rPr>
          <w:rFonts w:hint="eastAsia" w:asciiTheme="minorEastAsia" w:hAnsiTheme="minorEastAsia" w:eastAsiaTheme="minorEastAsia"/>
          <w:sz w:val="22"/>
        </w:rPr>
        <w:t>)</w:t>
      </w:r>
      <w:r>
        <w:rPr>
          <w:rFonts w:hint="eastAsia" w:asciiTheme="minorEastAsia" w:hAnsiTheme="minorEastAsia" w:eastAsiaTheme="minorEastAsia"/>
          <w:sz w:val="22"/>
        </w:rPr>
        <w:t>　発注者側の障害による開札時間等の変更</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発注者側に障害が発生した場合は、障害復旧の見込みがある場合には入札書受付締切時間及び開札予定時間の変更（延長）を行い、障害復旧の見込みがない場合には紙入札に変更するものとする。</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復旧の見込みがあるが、変更後の開札予定時間が直ちに決定できない場合においては、仮の日時を入力した日時変更通知書を送信し、又は電話等により連絡するものとし、変更通知書の記事入力欄には、開札日時正式決定後に再度変更通知書が送信される旨の記載を行い、正式な開札日時が決定した場合には、再度変更通知書を送信し、又は電話等により連絡す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１０</w:t>
      </w:r>
      <w:r>
        <w:rPr>
          <w:rFonts w:hint="eastAsia" w:asciiTheme="minorEastAsia" w:hAnsiTheme="minorEastAsia" w:eastAsiaTheme="minorEastAsia"/>
          <w:sz w:val="22"/>
        </w:rPr>
        <w:t>)</w:t>
      </w:r>
      <w:r>
        <w:rPr>
          <w:rFonts w:hint="eastAsia" w:asciiTheme="minorEastAsia" w:hAnsiTheme="minorEastAsia" w:eastAsiaTheme="minorEastAsia"/>
          <w:sz w:val="22"/>
        </w:rPr>
        <w:t>　開札を中止する場合の取扱い</w:t>
      </w:r>
    </w:p>
    <w:p>
      <w:pPr>
        <w:pStyle w:val="0"/>
        <w:ind w:left="436" w:leftChars="200" w:firstLine="203" w:firstLineChars="89"/>
        <w:rPr>
          <w:rFonts w:hint="eastAsia" w:asciiTheme="minorEastAsia" w:hAnsiTheme="minorEastAsia" w:eastAsiaTheme="minorEastAsia"/>
          <w:sz w:val="22"/>
        </w:rPr>
      </w:pPr>
      <w:r>
        <w:rPr>
          <w:rFonts w:hint="eastAsia" w:asciiTheme="minorEastAsia" w:hAnsiTheme="minorEastAsia" w:eastAsiaTheme="minorEastAsia"/>
          <w:sz w:val="22"/>
        </w:rPr>
        <w:t>開札を中止する場合は、電子入札システムその他適当な手段により、当該案件の入札参加者全員に、開札を中止する旨の通知を行うとともに、既に提出された入札書については開封せずに電子入札システムに結果登録するものとする。</w:t>
      </w:r>
    </w:p>
    <w:p>
      <w:pPr>
        <w:pStyle w:val="0"/>
        <w:ind w:left="674" w:leftChars="100" w:hanging="456" w:hangingChars="2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１１</w:t>
      </w:r>
      <w:r>
        <w:rPr>
          <w:rFonts w:hint="eastAsia" w:asciiTheme="minorEastAsia" w:hAnsiTheme="minorEastAsia" w:eastAsiaTheme="minorEastAsia"/>
          <w:sz w:val="22"/>
        </w:rPr>
        <w:t>)</w:t>
      </w:r>
      <w:r>
        <w:rPr>
          <w:rFonts w:hint="eastAsia" w:asciiTheme="minorEastAsia" w:hAnsiTheme="minorEastAsia" w:eastAsiaTheme="minorEastAsia"/>
          <w:sz w:val="22"/>
        </w:rPr>
        <w:t>　入札書未送信者の取扱い</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入札締切予定時間になっても入札書が電子入札システムに入力されたことが確認できない入札参加者については、棄権とみなす。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６　入札情報の公表</w:t>
      </w:r>
      <w:r>
        <w:rPr>
          <w:rFonts w:hint="eastAsia" w:asciiTheme="minorEastAsia" w:hAnsiTheme="minorEastAsia" w:eastAsiaTheme="minorEastAsia"/>
          <w:sz w:val="22"/>
        </w:rPr>
        <w:t xml:space="preserve"> </w:t>
      </w:r>
    </w:p>
    <w:p>
      <w:pPr>
        <w:pStyle w:val="0"/>
        <w:ind w:left="218" w:leftChars="1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電子入札案件に係る入札公告、入札結果の公表、その他入札手続に必要な事項の公表は、原則として入札情報サービスにより行うものとする。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７　利用者登録及びＩＣカードの取扱い</w:t>
      </w:r>
    </w:p>
    <w:p>
      <w:pPr>
        <w:pStyle w:val="0"/>
        <w:ind w:left="0" w:leftChars="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利用者登録</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入札参加者は、初めて電子入札システムを利用する場合や、新たにＩＣカードを取得した場合は、使用するＩＣカードについて、事前に電子入札システムから利用者登録を行うものとする。</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入札参加者は、利用者登録した代表窓口情報、ＩＣカード利用部署情報等に変更が生じた場合は、随時電子入札システムから変更内容の登録を行うものとする。</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入札参加者は、入札参加資格の登録事項に変更が生じた場合は、入札参加資格審査変更届の提出と併せて、電子入札システムから変更内容の登録を行うものとする。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２</w:t>
      </w:r>
      <w:r>
        <w:rPr>
          <w:rFonts w:hint="eastAsia" w:asciiTheme="minorEastAsia" w:hAnsiTheme="minorEastAsia" w:eastAsiaTheme="minorEastAsia"/>
          <w:sz w:val="22"/>
        </w:rPr>
        <w:t>)</w:t>
      </w:r>
      <w:r>
        <w:rPr>
          <w:rFonts w:hint="eastAsia" w:asciiTheme="minorEastAsia" w:hAnsiTheme="minorEastAsia" w:eastAsiaTheme="minorEastAsia"/>
          <w:sz w:val="22"/>
        </w:rPr>
        <w:t>　電子入札を利用することができるＩＣカードの基準</w:t>
      </w:r>
      <w:r>
        <w:rPr>
          <w:rFonts w:hint="eastAsia" w:asciiTheme="minorEastAsia" w:hAnsiTheme="minorEastAsia" w:eastAsiaTheme="minorEastAsia"/>
          <w:sz w:val="22"/>
        </w:rPr>
        <w:t xml:space="preserve"> </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電子入札を利用することができるＩＣカードは、別途公表する民間の電子認証局が発行したＩＣカードであって、市の入札参加資格者名簿に登載されている者（以下「代表者」という。）又は代表者から入札権限及び契約権限について委任をうけた場合は当該委任先の代表者（以下「受任者」という。）の名義のＩＣカードに限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３</w:t>
      </w:r>
      <w:r>
        <w:rPr>
          <w:rFonts w:hint="eastAsia" w:asciiTheme="minorEastAsia" w:hAnsiTheme="minorEastAsia" w:eastAsiaTheme="minorEastAsia"/>
          <w:sz w:val="22"/>
        </w:rPr>
        <w:t>)</w:t>
      </w:r>
      <w:r>
        <w:rPr>
          <w:rFonts w:hint="eastAsia" w:asciiTheme="minorEastAsia" w:hAnsiTheme="minorEastAsia" w:eastAsiaTheme="minorEastAsia"/>
          <w:sz w:val="22"/>
        </w:rPr>
        <w:t>　特定建設工事共同企業体におけるＩＣカードの取扱い</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を利用することができるＩＣカードは、特定建設工事共同企業体（以下、「特定ＪＶ」という。）の代表会社の代表者又は当該代表者からの受任者のＩＣカードとする。また、当該特定ＪＶの入札書提出前に、特定ＪＶの構成会社の代表者又は受任者から代表会社の代表者又は受任者に対する入札に関する権限についての委任状の提出を求めるものとする。</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４</w:t>
      </w:r>
      <w:r>
        <w:rPr>
          <w:rFonts w:hint="eastAsia" w:asciiTheme="minorEastAsia" w:hAnsiTheme="minorEastAsia" w:eastAsiaTheme="minorEastAsia"/>
          <w:sz w:val="22"/>
        </w:rPr>
        <w:t>)</w:t>
      </w:r>
      <w:r>
        <w:rPr>
          <w:rFonts w:hint="eastAsia" w:asciiTheme="minorEastAsia" w:hAnsiTheme="minorEastAsia" w:eastAsiaTheme="minorEastAsia"/>
          <w:sz w:val="22"/>
        </w:rPr>
        <w:t>　ＩＣカード等の管理</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ＩＣカード利用者登録を行った者は、その使用に係るＩＣカードの破損、紛失、盗難その他の事故を予防するために必要な措置を講じなければならない。</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　ＩＣカード利用者登録を行った者は、その使用に係るＩＣカードの紛失、盗難等によりＩＣカードを不正に使用されるおそれが生じたときは、直ちに当該ＩＣカードの失効その他の適切な措置を講じなければならない。</w:t>
      </w: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５</w:t>
      </w:r>
      <w:r>
        <w:rPr>
          <w:rFonts w:hint="eastAsia" w:asciiTheme="minorEastAsia" w:hAnsiTheme="minorEastAsia" w:eastAsiaTheme="minorEastAsia"/>
          <w:sz w:val="22"/>
        </w:rPr>
        <w:t>)</w:t>
      </w:r>
      <w:r>
        <w:rPr>
          <w:rFonts w:hint="eastAsia" w:asciiTheme="minorEastAsia" w:hAnsiTheme="minorEastAsia" w:eastAsiaTheme="minorEastAsia"/>
          <w:sz w:val="22"/>
        </w:rPr>
        <w:t>　ＩＣカード不正使用等への対応</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入札参加者がＩＣカードを前各号に掲げる事項に違反して使用した場合及び次に掲げる場合には、当該入札参加者の指名を取り消し、その提出した入札書を無効とし、又は入札案件への参加を認めないことができる。落札後に不正使用等が判明した場合には、契約締結前であれば、契約締結を行わないことができる。また、契約締結後に不正使用等が判明した場合には、契約の進捗状況等を考慮して契約を解除するか否かを判断するものとする。</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ア　他人のＩＣカードを不正に取得し、名義人になりすまして入札に参加した場合</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イ　代表者が変更となっているにもかかわらず、変更前の代表者のＩＣカードを使用して入札に参加した場合</w:t>
      </w:r>
      <w:r>
        <w:rPr>
          <w:rFonts w:hint="eastAsia" w:asciiTheme="minorEastAsia" w:hAnsiTheme="minorEastAsia" w:eastAsiaTheme="minorEastAsia"/>
          <w:sz w:val="22"/>
        </w:rPr>
        <w:t xml:space="preserve"> </w:t>
      </w:r>
    </w:p>
    <w:p>
      <w:pPr>
        <w:pStyle w:val="0"/>
        <w:ind w:left="664" w:leftChars="200" w:hanging="228" w:hangingChars="100"/>
        <w:rPr>
          <w:rFonts w:hint="eastAsia" w:asciiTheme="minorEastAsia" w:hAnsiTheme="minorEastAsia" w:eastAsiaTheme="minorEastAsia"/>
          <w:sz w:val="22"/>
        </w:rPr>
      </w:pPr>
      <w:r>
        <w:rPr>
          <w:rFonts w:hint="eastAsia" w:asciiTheme="minorEastAsia" w:hAnsiTheme="minorEastAsia" w:eastAsiaTheme="minorEastAsia"/>
          <w:sz w:val="22"/>
        </w:rPr>
        <w:t>ウ　同一案件に対して、同一業者が故意に複数のＩＣカードを使用して入札に参加した場合</w:t>
      </w:r>
      <w:r>
        <w:rPr>
          <w:rFonts w:hint="eastAsia" w:asciiTheme="minorEastAsia" w:hAnsiTheme="minorEastAsia" w:eastAsiaTheme="minorEastAsia"/>
          <w:sz w:val="22"/>
        </w:rPr>
        <w:t xml:space="preserve"> </w:t>
      </w:r>
    </w:p>
    <w:p>
      <w:pPr>
        <w:pStyle w:val="0"/>
        <w:ind w:firstLine="456" w:firstLineChars="200"/>
        <w:rPr>
          <w:rFonts w:hint="eastAsia" w:asciiTheme="minorEastAsia" w:hAnsiTheme="minorEastAsia" w:eastAsiaTheme="minorEastAsia"/>
          <w:sz w:val="22"/>
        </w:rPr>
      </w:pPr>
      <w:r>
        <w:rPr>
          <w:rFonts w:hint="eastAsia" w:asciiTheme="minorEastAsia" w:hAnsiTheme="minorEastAsia" w:eastAsiaTheme="minorEastAsia"/>
          <w:sz w:val="22"/>
        </w:rPr>
        <w:t>エ　その他明らかにＩＣカードを不正使用したものと認められる場合</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８　運用時間</w:t>
      </w: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１</w:t>
      </w:r>
      <w:r>
        <w:rPr>
          <w:rFonts w:hint="eastAsia" w:asciiTheme="minorEastAsia" w:hAnsiTheme="minorEastAsia" w:eastAsiaTheme="minorEastAsia"/>
          <w:sz w:val="22"/>
        </w:rPr>
        <w:t>)</w:t>
      </w:r>
      <w:r>
        <w:rPr>
          <w:rFonts w:hint="eastAsia" w:asciiTheme="minorEastAsia" w:hAnsiTheme="minorEastAsia" w:eastAsiaTheme="minorEastAsia"/>
          <w:sz w:val="22"/>
        </w:rPr>
        <w:t>　運用時間</w:t>
      </w:r>
      <w:r>
        <w:rPr>
          <w:rFonts w:hint="eastAsia" w:asciiTheme="minorEastAsia" w:hAnsiTheme="minorEastAsia" w:eastAsiaTheme="minorEastAsia"/>
          <w:sz w:val="22"/>
        </w:rPr>
        <w:t xml:space="preserve"> </w:t>
      </w:r>
    </w:p>
    <w:p>
      <w:pPr>
        <w:pStyle w:val="0"/>
        <w:ind w:left="436" w:leftChars="200"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電子入札システム及び入札情報サービス（ＰＰＩ）、ヘルプデスクの運用時間は、次の通りとする。</w:t>
      </w:r>
    </w:p>
    <w:tbl>
      <w:tblPr>
        <w:tblStyle w:val="17"/>
        <w:tblW w:w="0" w:type="auto"/>
        <w:tblInd w:w="0" w:type="dxa"/>
        <w:tblLayout w:type="fixed"/>
        <w:tblLook w:firstRow="1" w:lastRow="0" w:firstColumn="1" w:lastColumn="0" w:noHBand="0" w:noVBand="1" w:val="04A0"/>
      </w:tblPr>
      <w:tblGrid>
        <w:gridCol w:w="2165"/>
        <w:gridCol w:w="6339"/>
      </w:tblGrid>
      <w:tr>
        <w:trPr/>
        <w:tc>
          <w:tcPr>
            <w:tcW w:w="2165" w:type="dxa"/>
            <w:vAlign w:val="center"/>
          </w:tcPr>
          <w:p>
            <w:pPr>
              <w:pStyle w:val="0"/>
              <w:jc w:val="center"/>
              <w:rPr>
                <w:rFonts w:hint="eastAsia"/>
              </w:rPr>
            </w:pPr>
            <w:r>
              <w:rPr>
                <w:rFonts w:hint="eastAsia" w:asciiTheme="minorEastAsia" w:hAnsiTheme="minorEastAsia" w:eastAsiaTheme="minorEastAsia"/>
                <w:sz w:val="22"/>
              </w:rPr>
              <w:t>サービス</w:t>
            </w:r>
          </w:p>
        </w:tc>
        <w:tc>
          <w:tcPr>
            <w:tcW w:w="6339" w:type="dxa"/>
            <w:vAlign w:val="center"/>
          </w:tcPr>
          <w:p>
            <w:pPr>
              <w:pStyle w:val="0"/>
              <w:jc w:val="center"/>
              <w:rPr>
                <w:rFonts w:hint="eastAsia"/>
              </w:rPr>
            </w:pPr>
            <w:r>
              <w:rPr>
                <w:rFonts w:hint="eastAsia" w:asciiTheme="minorEastAsia" w:hAnsiTheme="minorEastAsia" w:eastAsiaTheme="minorEastAsia"/>
                <w:sz w:val="22"/>
              </w:rPr>
              <w:t>運用時間</w:t>
            </w:r>
          </w:p>
        </w:tc>
      </w:tr>
      <w:tr>
        <w:trPr/>
        <w:tc>
          <w:tcPr>
            <w:tcW w:w="2165" w:type="dxa"/>
            <w:vAlign w:val="center"/>
          </w:tcPr>
          <w:p>
            <w:pPr>
              <w:pStyle w:val="0"/>
              <w:jc w:val="both"/>
              <w:rPr>
                <w:rFonts w:hint="eastAsia"/>
              </w:rPr>
            </w:pPr>
            <w:r>
              <w:rPr>
                <w:rFonts w:hint="eastAsia" w:asciiTheme="minorEastAsia" w:hAnsiTheme="minorEastAsia" w:eastAsiaTheme="minorEastAsia"/>
                <w:sz w:val="22"/>
              </w:rPr>
              <w:t>電子入札システム</w:t>
            </w:r>
          </w:p>
        </w:tc>
        <w:tc>
          <w:tcPr>
            <w:tcW w:w="6339" w:type="dxa"/>
            <w:vAlign w:val="center"/>
          </w:tcPr>
          <w:p>
            <w:pPr>
              <w:pStyle w:val="0"/>
              <w:jc w:val="both"/>
              <w:rPr>
                <w:rFonts w:hint="eastAsia"/>
              </w:rPr>
            </w:pPr>
            <w:r>
              <w:rPr>
                <w:rFonts w:hint="eastAsia" w:asciiTheme="minorEastAsia" w:hAnsiTheme="minorEastAsia" w:eastAsiaTheme="minorEastAsia"/>
                <w:sz w:val="22"/>
              </w:rPr>
              <w:t>８：３０～２０：００</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w:t>
            </w:r>
          </w:p>
        </w:tc>
      </w:tr>
      <w:tr>
        <w:trPr/>
        <w:tc>
          <w:tcPr>
            <w:tcW w:w="2165" w:type="dxa"/>
            <w:vAlign w:val="center"/>
          </w:tcPr>
          <w:p>
            <w:pPr>
              <w:pStyle w:val="0"/>
              <w:jc w:val="both"/>
              <w:rPr>
                <w:rFonts w:hint="eastAsia"/>
              </w:rPr>
            </w:pPr>
            <w:r>
              <w:rPr>
                <w:rFonts w:hint="eastAsia" w:asciiTheme="minorEastAsia" w:hAnsiTheme="minorEastAsia" w:eastAsiaTheme="minorEastAsia"/>
                <w:sz w:val="22"/>
              </w:rPr>
              <w:t>入札情報サービス</w:t>
            </w:r>
          </w:p>
        </w:tc>
        <w:tc>
          <w:tcPr>
            <w:tcW w:w="6339" w:type="dxa"/>
            <w:vAlign w:val="center"/>
          </w:tcPr>
          <w:p>
            <w:pPr>
              <w:pStyle w:val="0"/>
              <w:jc w:val="both"/>
              <w:rPr>
                <w:rFonts w:hint="eastAsia"/>
              </w:rPr>
            </w:pPr>
            <w:r>
              <w:rPr>
                <w:rFonts w:hint="eastAsia" w:asciiTheme="minorEastAsia" w:hAnsiTheme="minorEastAsia" w:eastAsiaTheme="minorEastAsia"/>
                <w:sz w:val="22"/>
              </w:rPr>
              <w:t>２４時間</w:t>
            </w:r>
          </w:p>
        </w:tc>
      </w:tr>
      <w:tr>
        <w:trPr/>
        <w:tc>
          <w:tcPr>
            <w:tcW w:w="2165" w:type="dxa"/>
            <w:vAlign w:val="center"/>
          </w:tcPr>
          <w:p>
            <w:pPr>
              <w:pStyle w:val="0"/>
              <w:jc w:val="both"/>
              <w:rPr>
                <w:rFonts w:hint="eastAsia"/>
              </w:rPr>
            </w:pPr>
            <w:r>
              <w:rPr>
                <w:rFonts w:hint="eastAsia" w:asciiTheme="minorEastAsia" w:hAnsiTheme="minorEastAsia" w:eastAsiaTheme="minorEastAsia"/>
                <w:sz w:val="22"/>
              </w:rPr>
              <w:t>ヘルプデスク</w:t>
            </w:r>
          </w:p>
        </w:tc>
        <w:tc>
          <w:tcPr>
            <w:tcW w:w="6339" w:type="dxa"/>
            <w:vAlign w:val="center"/>
          </w:tcPr>
          <w:p>
            <w:pPr>
              <w:pStyle w:val="0"/>
              <w:jc w:val="both"/>
              <w:rPr>
                <w:rFonts w:hint="eastAsia"/>
              </w:rPr>
            </w:pPr>
            <w:r>
              <w:rPr>
                <w:rFonts w:hint="eastAsia" w:asciiTheme="minorEastAsia" w:hAnsiTheme="minorEastAsia" w:eastAsiaTheme="minorEastAsia"/>
                <w:sz w:val="22"/>
              </w:rPr>
              <w:t>フリーダイヤル</w:t>
            </w:r>
          </w:p>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９：００～１８：００（１２：００～１３：００を除く）※</w:t>
            </w:r>
          </w:p>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電子メール</w:t>
            </w:r>
          </w:p>
          <w:p>
            <w:pPr>
              <w:pStyle w:val="0"/>
              <w:jc w:val="both"/>
              <w:rPr>
                <w:rFonts w:hint="eastAsia"/>
              </w:rPr>
            </w:pPr>
            <w:r>
              <w:rPr>
                <w:rFonts w:hint="eastAsia" w:asciiTheme="minorEastAsia" w:hAnsiTheme="minorEastAsia" w:eastAsiaTheme="minorEastAsia"/>
                <w:sz w:val="22"/>
              </w:rPr>
              <w:t>２４時間３６５日（回答は翌開庁日まで）※</w:t>
            </w:r>
          </w:p>
        </w:tc>
      </w:tr>
    </w:tbl>
    <w:p>
      <w:pPr>
        <w:pStyle w:val="0"/>
        <w:rPr>
          <w:rFonts w:hint="eastAsia" w:asciiTheme="minorEastAsia" w:hAnsiTheme="minorEastAsia" w:eastAsiaTheme="minorEastAsia"/>
          <w:sz w:val="22"/>
        </w:rPr>
      </w:pPr>
      <w:r>
        <w:rPr>
          <w:rFonts w:hint="eastAsia" w:asciiTheme="minorEastAsia" w:hAnsiTheme="minorEastAsia" w:eastAsiaTheme="minorEastAsia"/>
          <w:sz w:val="22"/>
        </w:rPr>
        <w:t>※砺波市の休日を定める条例</w:t>
      </w:r>
      <w:r>
        <w:rPr>
          <w:rFonts w:hint="eastAsia" w:asciiTheme="minorEastAsia" w:hAnsiTheme="minorEastAsia" w:eastAsiaTheme="minorEastAsia"/>
          <w:sz w:val="22"/>
        </w:rPr>
        <w:t>(</w:t>
      </w:r>
      <w:r>
        <w:rPr>
          <w:rFonts w:hint="eastAsia" w:asciiTheme="minorEastAsia" w:hAnsiTheme="minorEastAsia" w:eastAsiaTheme="minorEastAsia"/>
          <w:sz w:val="22"/>
        </w:rPr>
        <w:t>平成１６年１１月１日条例第３号</w:t>
      </w:r>
      <w:r>
        <w:rPr>
          <w:rFonts w:hint="eastAsia" w:asciiTheme="minorEastAsia" w:hAnsiTheme="minorEastAsia" w:eastAsiaTheme="minorEastAsia"/>
          <w:sz w:val="22"/>
        </w:rPr>
        <w:t>)</w:t>
      </w:r>
      <w:r>
        <w:rPr>
          <w:rFonts w:hint="eastAsia" w:asciiTheme="minorEastAsia" w:hAnsiTheme="minorEastAsia" w:eastAsiaTheme="minorEastAsia"/>
          <w:sz w:val="22"/>
        </w:rPr>
        <w:t>により定められた　休日を除く</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4"/>
        </w:rPr>
      </w:pPr>
      <w:r>
        <w:rPr>
          <w:rFonts w:hint="eastAsia"/>
        </w:rPr>
        <w:t>　　　</w:t>
      </w:r>
      <w:r>
        <w:rPr>
          <w:rFonts w:hint="eastAsia"/>
          <w:sz w:val="22"/>
        </w:rPr>
        <w:t>附　則</w:t>
      </w:r>
    </w:p>
    <w:p>
      <w:pPr>
        <w:pStyle w:val="0"/>
        <w:rPr>
          <w:rFonts w:hint="eastAsia" w:asciiTheme="minorEastAsia" w:hAnsiTheme="minorEastAsia" w:eastAsiaTheme="minorEastAsia"/>
          <w:sz w:val="22"/>
        </w:rPr>
      </w:pPr>
      <w:r>
        <w:rPr>
          <w:rFonts w:hint="eastAsia"/>
          <w:sz w:val="22"/>
        </w:rPr>
        <w:t>　この基準は、令和５年４月１日から施行する。</w:t>
      </w:r>
      <w:r>
        <w:rPr>
          <w:rFonts w:hint="eastAsia"/>
        </w:rPr>
        <w:br w:type="page"/>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別記様式</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年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紙入札承諾願</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砺波市長</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あて</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地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商号又は名称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代表者職氏名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下記の理由により電子入札システムを利用することができないため、紙入札を承諾いただきますようお願いいたします。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入札番号</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件名</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電子入札システムを利用することができない理由</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（申請理由が確認できる書類の写しを添付）</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上記については、承諾します。</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left="0" w:leftChars="0" w:firstLine="1368" w:firstLineChars="600"/>
        <w:rPr>
          <w:rFonts w:hint="eastAsia" w:asciiTheme="minorEastAsia" w:hAnsiTheme="minorEastAsia" w:eastAsiaTheme="minorEastAsia"/>
          <w:sz w:val="22"/>
        </w:rPr>
      </w:pPr>
      <w:r>
        <w:rPr>
          <w:rFonts w:hint="eastAsia" w:asciiTheme="minorEastAsia" w:hAnsiTheme="minorEastAsia" w:eastAsiaTheme="minorEastAsia"/>
          <w:sz w:val="22"/>
        </w:rPr>
        <w:t>年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殿</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砺波市長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sectPr>
      <w:pgSz w:w="11906" w:h="16838"/>
      <w:pgMar w:top="1985" w:right="1701" w:bottom="1701" w:left="1701" w:header="851" w:footer="992" w:gutter="0"/>
      <w:pgBorders w:zOrder="front" w:display="allPages" w:offsetFrom="page"/>
      <w:cols w:space="720"/>
      <w:textDirection w:val="lrTb"/>
      <w:docGrid w:type="linesAndChars"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efaultTableStyle w:val="17"/>
  <w:drawingGridHorizontalSpacing w:val="21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8</Pages>
  <Words>27</Words>
  <Characters>6585</Characters>
  <Application>JUST Note</Application>
  <Lines>308</Lines>
  <Paragraphs>169</Paragraphs>
  <CharactersWithSpaces>6837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高野　克範</cp:lastModifiedBy>
  <cp:lastPrinted>2023-03-03T02:01:56Z</cp:lastPrinted>
  <dcterms:modified xsi:type="dcterms:W3CDTF">2023-03-02T10:31:29Z</dcterms:modified>
  <cp:revision>60</cp:revision>
</cp:coreProperties>
</file>